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9785" w14:textId="77777777" w:rsidR="0033498E" w:rsidRDefault="0033498E" w:rsidP="0033498E">
      <w:pPr>
        <w:pStyle w:val="Heading1"/>
      </w:pPr>
      <w:r>
        <w:t>Data</w:t>
      </w:r>
    </w:p>
    <w:p w14:paraId="343C7DC4" w14:textId="77777777" w:rsidR="0033498E" w:rsidRPr="00C34D82" w:rsidRDefault="0033498E" w:rsidP="0033498E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0FB1A7BD" w14:textId="77777777" w:rsidR="0033498E" w:rsidRDefault="0033498E" w:rsidP="0033498E">
      <w:r>
        <w:t xml:space="preserve">Our data is from </w:t>
      </w:r>
      <w:proofErr w:type="spellStart"/>
      <w:r>
        <w:t>DealScan</w:t>
      </w:r>
      <w:proofErr w:type="spellEnd"/>
      <w:r>
        <w:t xml:space="preserve">, </w:t>
      </w:r>
      <w:proofErr w:type="spellStart"/>
      <w:r>
        <w:t>MorningStar</w:t>
      </w:r>
      <w:proofErr w:type="spellEnd"/>
      <w:r>
        <w:t>, CRSP, FISD, Trace, Bloomberg and hand collection. The procedure of data construction is as the following.</w:t>
      </w:r>
    </w:p>
    <w:p w14:paraId="2D7CC7D7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 xml:space="preserve">Identify the leading banks in </w:t>
      </w:r>
      <w:proofErr w:type="spellStart"/>
      <w:r w:rsidRPr="00EE6BF2">
        <w:rPr>
          <w:i/>
          <w:iCs/>
        </w:rPr>
        <w:t>DealScan</w:t>
      </w:r>
      <w:proofErr w:type="spellEnd"/>
      <w:r>
        <w:t xml:space="preserve"> database.</w:t>
      </w:r>
    </w:p>
    <w:p w14:paraId="270B5634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>Identify the affiliated bond mutual funds (</w:t>
      </w:r>
      <w:proofErr w:type="spellStart"/>
      <w:r w:rsidRPr="00EE6BF2">
        <w:rPr>
          <w:i/>
          <w:iCs/>
        </w:rPr>
        <w:t>MorningStar</w:t>
      </w:r>
      <w:proofErr w:type="spellEnd"/>
      <w:r>
        <w:rPr>
          <w:b/>
          <w:bCs/>
        </w:rPr>
        <w:t xml:space="preserve">, </w:t>
      </w:r>
      <w:r w:rsidRPr="00EE6BF2">
        <w:t>1</w:t>
      </w:r>
      <w:r>
        <w:t>,</w:t>
      </w:r>
      <w:r w:rsidRPr="00EE6BF2">
        <w:t>243 funds</w:t>
      </w:r>
      <w:r>
        <w:t>) of the leading banks (</w:t>
      </w:r>
      <w:proofErr w:type="spellStart"/>
      <w:r w:rsidRPr="00EE6BF2">
        <w:rPr>
          <w:i/>
          <w:iCs/>
        </w:rPr>
        <w:t>DealScan</w:t>
      </w:r>
      <w:proofErr w:type="spellEnd"/>
      <w:r>
        <w:t xml:space="preserve">, 119 leading banks), </w:t>
      </w:r>
      <w:r w:rsidRPr="00074DF4">
        <w:rPr>
          <w:i/>
          <w:iCs/>
        </w:rPr>
        <w:t>manually</w:t>
      </w:r>
      <w:r>
        <w:t>.</w:t>
      </w:r>
    </w:p>
    <w:p w14:paraId="78F6CD39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>Identify the borrowers (</w:t>
      </w:r>
      <w:proofErr w:type="spellStart"/>
      <w:r w:rsidRPr="003315F4">
        <w:rPr>
          <w:i/>
          <w:iCs/>
        </w:rPr>
        <w:t>DealScan</w:t>
      </w:r>
      <w:proofErr w:type="spellEnd"/>
      <w:r>
        <w:t>) of the leading banks which also have corporate bonds (</w:t>
      </w:r>
      <w:r w:rsidRPr="003315F4">
        <w:rPr>
          <w:i/>
          <w:iCs/>
        </w:rPr>
        <w:t>FISD</w:t>
      </w:r>
      <w:r>
        <w:t xml:space="preserve">) outstanding, </w:t>
      </w:r>
      <w:r w:rsidRPr="00163542">
        <w:rPr>
          <w:b/>
          <w:bCs/>
          <w:i/>
          <w:iCs/>
        </w:rPr>
        <w:t>manually</w:t>
      </w:r>
      <w:r>
        <w:t>. 7,801 such borrowers/issuers are identified in this process.</w:t>
      </w:r>
    </w:p>
    <w:p w14:paraId="2F2BF6B9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>Identify the quarterly trading of affiliated mutual funds on the borrowers’ corporate bonds in 8 quarters before and after loan syndication.</w:t>
      </w:r>
    </w:p>
    <w:p w14:paraId="44A4EA27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>Identify the control trading group of those bonds’ transactions.</w:t>
      </w:r>
    </w:p>
    <w:p w14:paraId="05B7B6EF" w14:textId="77777777" w:rsidR="0033498E" w:rsidRDefault="0033498E" w:rsidP="0033498E">
      <w:pPr>
        <w:pStyle w:val="ListParagraph"/>
        <w:numPr>
          <w:ilvl w:val="1"/>
          <w:numId w:val="1"/>
        </w:numPr>
      </w:pPr>
      <w:r>
        <w:t>The affiliated mutual fund’s transactions on control bonds.</w:t>
      </w:r>
    </w:p>
    <w:p w14:paraId="73F19D5A" w14:textId="77777777" w:rsidR="0033498E" w:rsidRDefault="0033498E" w:rsidP="0033498E">
      <w:pPr>
        <w:pStyle w:val="ListParagraph"/>
        <w:numPr>
          <w:ilvl w:val="2"/>
          <w:numId w:val="1"/>
        </w:numPr>
      </w:pPr>
      <w:r>
        <w:t>Control bonds: the bonds which are in same (7) rating and (5) duration group in the quarter prior to the loan origination.</w:t>
      </w:r>
    </w:p>
    <w:p w14:paraId="172E7E2F" w14:textId="77777777" w:rsidR="0033498E" w:rsidRDefault="0033498E" w:rsidP="0033498E">
      <w:pPr>
        <w:pStyle w:val="ListParagraph"/>
        <w:numPr>
          <w:ilvl w:val="1"/>
          <w:numId w:val="1"/>
        </w:numPr>
      </w:pPr>
      <w:r>
        <w:t>The unaffiliated mutual funds’ transaction on the borrower’s bonds.</w:t>
      </w:r>
    </w:p>
    <w:p w14:paraId="6DAB878B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>Extract bond price data from Trace.</w:t>
      </w:r>
    </w:p>
    <w:p w14:paraId="687BE1B8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 xml:space="preserve">Extract bond issuance data and rating from </w:t>
      </w:r>
      <w:r w:rsidRPr="003D5A60">
        <w:rPr>
          <w:i/>
          <w:iCs/>
        </w:rPr>
        <w:t>FISD</w:t>
      </w:r>
      <w:r>
        <w:t>.</w:t>
      </w:r>
    </w:p>
    <w:p w14:paraId="738F445B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 xml:space="preserve">Extract mutual fund holding from 8 quarters before to 8 quarters after the loan origination from </w:t>
      </w:r>
      <w:proofErr w:type="spellStart"/>
      <w:r w:rsidRPr="003D5A60">
        <w:rPr>
          <w:i/>
          <w:iCs/>
        </w:rPr>
        <w:t>MorningStar</w:t>
      </w:r>
      <w:proofErr w:type="spellEnd"/>
      <w:r>
        <w:t>.</w:t>
      </w:r>
    </w:p>
    <w:p w14:paraId="5A3E4234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 xml:space="preserve">Extract mutual fund fundamental data from </w:t>
      </w:r>
      <w:r w:rsidRPr="003D5A60">
        <w:rPr>
          <w:i/>
          <w:iCs/>
        </w:rPr>
        <w:t>CRSP</w:t>
      </w:r>
      <w:r>
        <w:t>.</w:t>
      </w:r>
    </w:p>
    <w:p w14:paraId="217EBB81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 xml:space="preserve">Verify some of the bond and fund characteristics with </w:t>
      </w:r>
      <w:r w:rsidRPr="003D5A60">
        <w:rPr>
          <w:i/>
          <w:iCs/>
        </w:rPr>
        <w:t>Bloomberg</w:t>
      </w:r>
      <w:r>
        <w:t>.</w:t>
      </w:r>
    </w:p>
    <w:p w14:paraId="15EC0BF2" w14:textId="77777777" w:rsidR="0033498E" w:rsidRDefault="0033498E" w:rsidP="0033498E">
      <w:pPr>
        <w:pStyle w:val="ListParagraph"/>
        <w:numPr>
          <w:ilvl w:val="0"/>
          <w:numId w:val="1"/>
        </w:numPr>
      </w:pPr>
      <w:r>
        <w:t>Merge all the data together.</w:t>
      </w:r>
    </w:p>
    <w:p w14:paraId="1B9312B7" w14:textId="77777777" w:rsidR="0033498E" w:rsidRDefault="0033498E" w:rsidP="0033498E">
      <w:r>
        <w:t>After the data construction, we have 378,439 fund-bond-quarter observations with at least one lead quarter bond price information. The summary statistics is showing in Table 1.</w:t>
      </w:r>
    </w:p>
    <w:p w14:paraId="14BFEC8B" w14:textId="77777777" w:rsidR="00FE40E0" w:rsidRDefault="00FE40E0"/>
    <w:sectPr w:rsidR="00FE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4FB3"/>
    <w:multiLevelType w:val="hybridMultilevel"/>
    <w:tmpl w:val="8B24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5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8E"/>
    <w:rsid w:val="0033498E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9425"/>
  <w15:chartTrackingRefBased/>
  <w15:docId w15:val="{5AF7C87B-6250-4F17-8F49-3E14F90C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8E"/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8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33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 Zhang</dc:creator>
  <cp:keywords/>
  <dc:description/>
  <cp:lastModifiedBy>Cinder Zhang</cp:lastModifiedBy>
  <cp:revision>1</cp:revision>
  <dcterms:created xsi:type="dcterms:W3CDTF">2023-03-30T02:56:00Z</dcterms:created>
  <dcterms:modified xsi:type="dcterms:W3CDTF">2023-03-30T02:56:00Z</dcterms:modified>
</cp:coreProperties>
</file>