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6.png" ContentType="image/png"/>
  <Override PartName="/word/media/rId28.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Exercise 01</w:t>
      </w:r>
    </w:p>
    <w:p>
      <w:pPr>
        <w:pStyle w:val="Author"/>
      </w:pPr>
      <w:r>
        <w:t xml:space="preserve">Cindy TA</w:t>
      </w:r>
    </w:p>
    <w:bookmarkStart w:id="20" w:name="take-home-exercise-01---phase-1"/>
    <w:p>
      <w:pPr>
        <w:pStyle w:val="Heading1"/>
      </w:pPr>
      <w:r>
        <w:rPr>
          <w:b/>
          <w:bCs/>
        </w:rPr>
        <w:t xml:space="preserve">TAKE-HOME EXERCISE 01 - PHASE 1</w:t>
      </w:r>
    </w:p>
    <w:bookmarkEnd w:id="20"/>
    <w:bookmarkStart w:id="23" w:name="introduction"/>
    <w:p>
      <w:pPr>
        <w:pStyle w:val="Heading1"/>
      </w:pPr>
      <w:r>
        <w:t xml:space="preserve">1. Introduction</w:t>
      </w:r>
    </w:p>
    <w:bookmarkStart w:id="21" w:name="setting-the-scene"/>
    <w:p>
      <w:pPr>
        <w:pStyle w:val="Heading2"/>
      </w:pPr>
      <w:r>
        <w:t xml:space="preserve">1.1. Setting the scene</w:t>
      </w:r>
    </w:p>
    <w:p>
      <w:pPr>
        <w:pStyle w:val="FirstParagraph"/>
      </w:pPr>
      <w:r>
        <w:t xml:space="preserve">A local online media company that publishes daily content on digital platforms is planning to release an article on</w:t>
      </w:r>
      <w:r>
        <w:t xml:space="preserve"> </w:t>
      </w:r>
      <w:r>
        <w:rPr>
          <w:b/>
          <w:bCs/>
        </w:rPr>
        <w:t xml:space="preserve">demographic structures and distribution of Singapore in 2024</w:t>
      </w:r>
      <w:r>
        <w:t xml:space="preserve">.</w:t>
      </w:r>
    </w:p>
    <w:bookmarkEnd w:id="21"/>
    <w:bookmarkStart w:id="22" w:name="the-task"/>
    <w:p>
      <w:pPr>
        <w:pStyle w:val="Heading2"/>
      </w:pPr>
      <w:r>
        <w:t xml:space="preserve">1.2. The task</w:t>
      </w:r>
    </w:p>
    <w:p>
      <w:pPr>
        <w:pStyle w:val="FirstParagraph"/>
      </w:pPr>
      <w:r>
        <w:t xml:space="preserve">In this take-home exercise, we are assuming the role of the graphical editor of the media company,and are tasked to prepare</w:t>
      </w:r>
      <w:r>
        <w:t xml:space="preserve"> </w:t>
      </w:r>
      <w:r>
        <w:rPr>
          <w:b/>
          <w:bCs/>
        </w:rPr>
        <w:t xml:space="preserve">at most three data visualisation</w:t>
      </w:r>
      <w:r>
        <w:t xml:space="preserve"> </w:t>
      </w:r>
      <w:r>
        <w:t xml:space="preserve">for the article.</w:t>
      </w:r>
    </w:p>
    <w:bookmarkEnd w:id="22"/>
    <w:bookmarkEnd w:id="23"/>
    <w:bookmarkStart w:id="27" w:name="getting-started"/>
    <w:p>
      <w:pPr>
        <w:pStyle w:val="Heading1"/>
      </w:pPr>
      <w:r>
        <w:t xml:space="preserve">2. Getting Started</w:t>
      </w:r>
    </w:p>
    <w:bookmarkStart w:id="24" w:name="importing-packages-and-libraries"/>
    <w:p>
      <w:pPr>
        <w:pStyle w:val="Heading2"/>
      </w:pPr>
      <w:r>
        <w:t xml:space="preserve">2.1. Importing packages and libraries</w:t>
      </w:r>
    </w:p>
    <w:p>
      <w:pPr>
        <w:pStyle w:val="FirstParagraph"/>
      </w:pPr>
      <w:r>
        <w:t xml:space="preserve">In this project, the below R packages will be used:</w:t>
      </w:r>
    </w:p>
    <w:p>
      <w:pPr>
        <w:numPr>
          <w:ilvl w:val="0"/>
          <w:numId w:val="1001"/>
        </w:numPr>
      </w:pPr>
      <w:r>
        <w:rPr>
          <w:i/>
          <w:iCs/>
        </w:rPr>
        <w:t xml:space="preserve">ggrepel</w:t>
      </w:r>
      <w:r>
        <w:t xml:space="preserve"> </w:t>
      </w:r>
      <w:r>
        <w:t xml:space="preserve">- Provides geoms for ggplot2 to repel overlapping text labels, making charts more readable</w:t>
      </w:r>
    </w:p>
    <w:p>
      <w:pPr>
        <w:numPr>
          <w:ilvl w:val="0"/>
          <w:numId w:val="1001"/>
        </w:numPr>
      </w:pPr>
      <w:r>
        <w:rPr>
          <w:i/>
          <w:iCs/>
        </w:rPr>
        <w:t xml:space="preserve">patchwork</w:t>
      </w:r>
      <w:r>
        <w:t xml:space="preserve"> </w:t>
      </w:r>
      <w:r>
        <w:t xml:space="preserve">- Helps combining multiple ggplot2 plots into a single layout</w:t>
      </w:r>
    </w:p>
    <w:p>
      <w:pPr>
        <w:numPr>
          <w:ilvl w:val="0"/>
          <w:numId w:val="1001"/>
        </w:numPr>
      </w:pPr>
      <w:r>
        <w:rPr>
          <w:i/>
          <w:iCs/>
        </w:rPr>
        <w:t xml:space="preserve">ggthemes</w:t>
      </w:r>
      <w:r>
        <w:t xml:space="preserve"> </w:t>
      </w:r>
      <w:r>
        <w:t xml:space="preserve">- Offers additional themes, scales, and geoms for ggplot2 to enhance visualization styles</w:t>
      </w:r>
    </w:p>
    <w:p>
      <w:pPr>
        <w:numPr>
          <w:ilvl w:val="0"/>
          <w:numId w:val="1001"/>
        </w:numPr>
      </w:pPr>
      <w:r>
        <w:rPr>
          <w:i/>
          <w:iCs/>
        </w:rPr>
        <w:t xml:space="preserve">hrbthemes</w:t>
      </w:r>
      <w:r>
        <w:t xml:space="preserve"> </w:t>
      </w:r>
      <w:r>
        <w:t xml:space="preserve">- A set of typography-centric themes and utilities for ggplot2 (nice fonts and spacing)</w:t>
      </w:r>
    </w:p>
    <w:p>
      <w:pPr>
        <w:numPr>
          <w:ilvl w:val="0"/>
          <w:numId w:val="1001"/>
        </w:numPr>
      </w:pPr>
      <w:r>
        <w:rPr>
          <w:i/>
          <w:iCs/>
        </w:rPr>
        <w:t xml:space="preserve">tidyverse</w:t>
      </w:r>
      <w:r>
        <w:t xml:space="preserve"> </w:t>
      </w:r>
      <w:r>
        <w:t xml:space="preserve">- Core collection of R packages designed for data science</w:t>
      </w:r>
    </w:p>
    <w:p>
      <w:pPr>
        <w:numPr>
          <w:ilvl w:val="0"/>
          <w:numId w:val="1001"/>
        </w:numPr>
      </w:pPr>
      <w:r>
        <w:rPr>
          <w:i/>
          <w:iCs/>
        </w:rPr>
        <w:t xml:space="preserve">ggplot2</w:t>
      </w:r>
      <w:r>
        <w:t xml:space="preserve"> </w:t>
      </w:r>
      <w:r>
        <w:t xml:space="preserve">- The main R package for creating static graphics using the grammar of graphics framework</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(ggrepel, patchwork, </w:t>
      </w:r>
      <w:r>
        <w:br/>
      </w:r>
      <w:r>
        <w:rPr>
          <w:rStyle w:val="NormalTok"/>
        </w:rPr>
        <w:t xml:space="preserve">               ggthemes, hrbrthemes,</w:t>
      </w:r>
      <w:r>
        <w:br/>
      </w:r>
      <w:r>
        <w:rPr>
          <w:rStyle w:val="NormalTok"/>
        </w:rPr>
        <w:t xml:space="preserve">               tidyverse, ggplot2) </w:t>
      </w:r>
    </w:p>
    <w:bookmarkEnd w:id="24"/>
    <w:bookmarkStart w:id="25" w:name="importing-data"/>
    <w:p>
      <w:pPr>
        <w:pStyle w:val="Heading2"/>
      </w:pPr>
      <w:r>
        <w:t xml:space="preserve">2.2. Importing data</w:t>
      </w:r>
    </w:p>
    <w:p>
      <w:pPr>
        <w:pStyle w:val="FirstParagraph"/>
      </w:pPr>
      <w:r>
        <w:t xml:space="preserve">The dataset shared by Department of Statistics, Singapore (DOS),</w:t>
      </w:r>
      <w:r>
        <w:t xml:space="preserve"> </w:t>
      </w:r>
      <w:r>
        <w:rPr>
          <w:i/>
          <w:iCs/>
        </w:rPr>
        <w:t xml:space="preserve">Singapore Residents by Planning Area / Subzone, Single Year of Age and Sex, June 2024</w:t>
      </w:r>
      <w:r>
        <w:t xml:space="preserve">, is used</w:t>
      </w:r>
    </w:p>
    <w:p>
      <w:pPr>
        <w:pStyle w:val="SourceCode"/>
      </w:pPr>
      <w:r>
        <w:rPr>
          <w:rStyle w:val="NormalTok"/>
        </w:rPr>
        <w:t xml:space="preserve">pop_data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p>
    <w:p>
      <w:pPr>
        <w:pStyle w:val="SourceCode"/>
      </w:pPr>
      <w:r>
        <w:rPr>
          <w:rStyle w:val="VerbatimChar"/>
        </w:rPr>
        <w:t xml:space="preserve">Rows: 60424 Columns: 6</w:t>
      </w:r>
      <w:r>
        <w:br/>
      </w:r>
      <w:r>
        <w:rPr>
          <w:rStyle w:val="VerbatimChar"/>
        </w:rPr>
        <w:t xml:space="preserve">── Column specification ────────────────────────────────────────────────────────</w:t>
      </w:r>
      <w:r>
        <w:br/>
      </w:r>
      <w:r>
        <w:rPr>
          <w:rStyle w:val="VerbatimChar"/>
        </w:rPr>
        <w:t xml:space="preserve">Delimiter: ","</w:t>
      </w:r>
      <w:r>
        <w:br/>
      </w:r>
      <w:r>
        <w:rPr>
          <w:rStyle w:val="VerbatimChar"/>
        </w:rPr>
        <w:t xml:space="preserve">chr (4): PA, SZ, Age, Sex</w:t>
      </w:r>
      <w:r>
        <w:br/>
      </w:r>
      <w:r>
        <w:rPr>
          <w:rStyle w:val="VerbatimChar"/>
        </w:rPr>
        <w:t xml:space="preserve">dbl (2): Pop, Time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head</w:t>
      </w:r>
      <w:r>
        <w:rPr>
          <w:rStyle w:val="NormalTok"/>
        </w:rPr>
        <w:t xml:space="preserve">(pop_data)</w:t>
      </w:r>
    </w:p>
    <w:p>
      <w:pPr>
        <w:pStyle w:val="SourceCode"/>
      </w:pPr>
      <w:r>
        <w:rPr>
          <w:rStyle w:val="VerbatimChar"/>
        </w:rPr>
        <w:t xml:space="preserve"># A tibble: 6 × 6</w:t>
      </w:r>
      <w:r>
        <w:br/>
      </w:r>
      <w:r>
        <w:rPr>
          <w:rStyle w:val="VerbatimChar"/>
        </w:rPr>
        <w:t xml:space="preserve">  PA         SZ                     Age   Sex       Pop  Time</w:t>
      </w:r>
      <w:r>
        <w:br/>
      </w:r>
      <w:r>
        <w:rPr>
          <w:rStyle w:val="VerbatimChar"/>
        </w:rPr>
        <w:t xml:space="preserve">  &lt;chr&gt;      &lt;chr&gt;                  &lt;chr&gt; &lt;chr&gt;   &lt;dbl&gt; &lt;dbl&gt;</w:t>
      </w:r>
      <w:r>
        <w:br/>
      </w:r>
      <w:r>
        <w:rPr>
          <w:rStyle w:val="VerbatimChar"/>
        </w:rPr>
        <w:t xml:space="preserve">1 Ang Mo Kio Ang Mo Kio Town Centre 0     Males      10  2024</w:t>
      </w:r>
      <w:r>
        <w:br/>
      </w:r>
      <w:r>
        <w:rPr>
          <w:rStyle w:val="VerbatimChar"/>
        </w:rPr>
        <w:t xml:space="preserve">2 Ang Mo Kio Ang Mo Kio Town Centre 0     Females    10  2024</w:t>
      </w:r>
      <w:r>
        <w:br/>
      </w:r>
      <w:r>
        <w:rPr>
          <w:rStyle w:val="VerbatimChar"/>
        </w:rPr>
        <w:t xml:space="preserve">3 Ang Mo Kio Ang Mo Kio Town Centre 1     Males      10  2024</w:t>
      </w:r>
      <w:r>
        <w:br/>
      </w:r>
      <w:r>
        <w:rPr>
          <w:rStyle w:val="VerbatimChar"/>
        </w:rPr>
        <w:t xml:space="preserve">4 Ang Mo Kio Ang Mo Kio Town Centre 1     Females    10  2024</w:t>
      </w:r>
      <w:r>
        <w:br/>
      </w:r>
      <w:r>
        <w:rPr>
          <w:rStyle w:val="VerbatimChar"/>
        </w:rPr>
        <w:t xml:space="preserve">5 Ang Mo Kio Ang Mo Kio Town Centre 2     Males      10  2024</w:t>
      </w:r>
      <w:r>
        <w:br/>
      </w:r>
      <w:r>
        <w:rPr>
          <w:rStyle w:val="VerbatimChar"/>
        </w:rPr>
        <w:t xml:space="preserve">6 Ang Mo Kio Ang Mo Kio Town Centre 2     Females    10  2024</w:t>
      </w:r>
    </w:p>
    <w:bookmarkEnd w:id="25"/>
    <w:bookmarkStart w:id="26" w:name="exploring-data"/>
    <w:p>
      <w:pPr>
        <w:pStyle w:val="Heading2"/>
      </w:pPr>
      <w:r>
        <w:t xml:space="preserve">2.3. Exploring data</w:t>
      </w:r>
    </w:p>
    <w:p>
      <w:pPr>
        <w:pStyle w:val="SourceCode"/>
      </w:pPr>
      <w:r>
        <w:rPr>
          <w:rStyle w:val="FunctionTok"/>
        </w:rPr>
        <w:t xml:space="preserve">summary</w:t>
      </w:r>
      <w:r>
        <w:rPr>
          <w:rStyle w:val="NormalTok"/>
        </w:rPr>
        <w:t xml:space="preserve">(pop_data)</w:t>
      </w:r>
    </w:p>
    <w:p>
      <w:pPr>
        <w:pStyle w:val="SourceCode"/>
      </w:pPr>
      <w:r>
        <w:rPr>
          <w:rStyle w:val="VerbatimChar"/>
        </w:rPr>
        <w:t xml:space="preserve">      PA                 SZ                Age                Sex           </w:t>
      </w:r>
      <w:r>
        <w:br/>
      </w:r>
      <w:r>
        <w:rPr>
          <w:rStyle w:val="VerbatimChar"/>
        </w:rPr>
        <w:t xml:space="preserve"> Length:60424       Length:60424       Length:60424       Length:60424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Pop              Time     </w:t>
      </w:r>
      <w:r>
        <w:br/>
      </w:r>
      <w:r>
        <w:rPr>
          <w:rStyle w:val="VerbatimChar"/>
        </w:rPr>
        <w:t xml:space="preserve"> Min.   :   0.0   Min.   :2024  </w:t>
      </w:r>
      <w:r>
        <w:br/>
      </w:r>
      <w:r>
        <w:rPr>
          <w:rStyle w:val="VerbatimChar"/>
        </w:rPr>
        <w:t xml:space="preserve"> 1st Qu.:   0.0   1st Qu.:2024  </w:t>
      </w:r>
      <w:r>
        <w:br/>
      </w:r>
      <w:r>
        <w:rPr>
          <w:rStyle w:val="VerbatimChar"/>
        </w:rPr>
        <w:t xml:space="preserve"> Median :  20.0   Median :2024  </w:t>
      </w:r>
      <w:r>
        <w:br/>
      </w:r>
      <w:r>
        <w:rPr>
          <w:rStyle w:val="VerbatimChar"/>
        </w:rPr>
        <w:t xml:space="preserve"> Mean   :  69.4   Mean   :2024  </w:t>
      </w:r>
      <w:r>
        <w:br/>
      </w:r>
      <w:r>
        <w:rPr>
          <w:rStyle w:val="VerbatimChar"/>
        </w:rPr>
        <w:t xml:space="preserve"> 3rd Qu.:  90.0   3rd Qu.:2024  </w:t>
      </w:r>
      <w:r>
        <w:br/>
      </w:r>
      <w:r>
        <w:rPr>
          <w:rStyle w:val="VerbatimChar"/>
        </w:rPr>
        <w:t xml:space="preserve"> Max.   :1180.0   Max.   :2024  </w:t>
      </w:r>
    </w:p>
    <w:p>
      <w:pPr>
        <w:pStyle w:val="SourceCode"/>
      </w:pPr>
      <w:r>
        <w:rPr>
          <w:rStyle w:val="FunctionTok"/>
        </w:rPr>
        <w:t xml:space="preserve">unique</w:t>
      </w:r>
      <w:r>
        <w:rPr>
          <w:rStyle w:val="NormalTok"/>
        </w:rPr>
        <w:t xml:space="preserve">(pop_data</w:t>
      </w:r>
      <w:r>
        <w:rPr>
          <w:rStyle w:val="SpecialCharTok"/>
        </w:rPr>
        <w:t xml:space="preserve">$</w:t>
      </w:r>
      <w:r>
        <w:rPr>
          <w:rStyle w:val="NormalTok"/>
        </w:rPr>
        <w:t xml:space="preserve">PA)</w:t>
      </w:r>
    </w:p>
    <w:p>
      <w:pPr>
        <w:pStyle w:val="SourceCode"/>
      </w:pPr>
      <w:r>
        <w:rPr>
          <w:rStyle w:val="VerbatimChar"/>
        </w:rPr>
        <w:t xml:space="preserve"> [1] "Ang Mo Kio"              "Bedok"                  </w:t>
      </w:r>
      <w:r>
        <w:br/>
      </w:r>
      <w:r>
        <w:rPr>
          <w:rStyle w:val="VerbatimChar"/>
        </w:rPr>
        <w:t xml:space="preserve"> [3] "Bishan"                  "Boon Lay"               </w:t>
      </w:r>
      <w:r>
        <w:br/>
      </w:r>
      <w:r>
        <w:rPr>
          <w:rStyle w:val="VerbatimChar"/>
        </w:rPr>
        <w:t xml:space="preserve"> [5] "Bukit Batok"             "Bukit Merah"            </w:t>
      </w:r>
      <w:r>
        <w:br/>
      </w:r>
      <w:r>
        <w:rPr>
          <w:rStyle w:val="VerbatimChar"/>
        </w:rPr>
        <w:t xml:space="preserve"> [7] "Bukit Panjang"           "Bukit Timah"            </w:t>
      </w:r>
      <w:r>
        <w:br/>
      </w:r>
      <w:r>
        <w:rPr>
          <w:rStyle w:val="VerbatimChar"/>
        </w:rPr>
        <w:t xml:space="preserve"> [9] "Central Water Catchment" "Changi"                 </w:t>
      </w:r>
      <w:r>
        <w:br/>
      </w:r>
      <w:r>
        <w:rPr>
          <w:rStyle w:val="VerbatimChar"/>
        </w:rPr>
        <w:t xml:space="preserve">[11] "Changi Bay"              "Choa Chu Kang"          </w:t>
      </w:r>
      <w:r>
        <w:br/>
      </w:r>
      <w:r>
        <w:rPr>
          <w:rStyle w:val="VerbatimChar"/>
        </w:rPr>
        <w:t xml:space="preserve">[13] "Clementi"                "Downtown Core"          </w:t>
      </w:r>
      <w:r>
        <w:br/>
      </w:r>
      <w:r>
        <w:rPr>
          <w:rStyle w:val="VerbatimChar"/>
        </w:rPr>
        <w:t xml:space="preserve">[15] "Geylang"                 "Hougang"                </w:t>
      </w:r>
      <w:r>
        <w:br/>
      </w:r>
      <w:r>
        <w:rPr>
          <w:rStyle w:val="VerbatimChar"/>
        </w:rPr>
        <w:t xml:space="preserve">[17] "Jurong East"             "Jurong West"            </w:t>
      </w:r>
      <w:r>
        <w:br/>
      </w:r>
      <w:r>
        <w:rPr>
          <w:rStyle w:val="VerbatimChar"/>
        </w:rPr>
        <w:t xml:space="preserve">[19] "Kallang"                 "Lim Chu Kang"           </w:t>
      </w:r>
      <w:r>
        <w:br/>
      </w:r>
      <w:r>
        <w:rPr>
          <w:rStyle w:val="VerbatimChar"/>
        </w:rPr>
        <w:t xml:space="preserve">[21] "Mandai"                  "Marina East"            </w:t>
      </w:r>
      <w:r>
        <w:br/>
      </w:r>
      <w:r>
        <w:rPr>
          <w:rStyle w:val="VerbatimChar"/>
        </w:rPr>
        <w:t xml:space="preserve">[23] "Marina South"            "Marine Parade"          </w:t>
      </w:r>
      <w:r>
        <w:br/>
      </w:r>
      <w:r>
        <w:rPr>
          <w:rStyle w:val="VerbatimChar"/>
        </w:rPr>
        <w:t xml:space="preserve">[25] "Museum"                  "Newton"                 </w:t>
      </w:r>
      <w:r>
        <w:br/>
      </w:r>
      <w:r>
        <w:rPr>
          <w:rStyle w:val="VerbatimChar"/>
        </w:rPr>
        <w:t xml:space="preserve">[27] "North-Eastern Islands"   "Novena"                 </w:t>
      </w:r>
      <w:r>
        <w:br/>
      </w:r>
      <w:r>
        <w:rPr>
          <w:rStyle w:val="VerbatimChar"/>
        </w:rPr>
        <w:t xml:space="preserve">[29] "Orchard"                 "Outram"                 </w:t>
      </w:r>
      <w:r>
        <w:br/>
      </w:r>
      <w:r>
        <w:rPr>
          <w:rStyle w:val="VerbatimChar"/>
        </w:rPr>
        <w:t xml:space="preserve">[31] "Pasir Ris"               "Paya Lebar"             </w:t>
      </w:r>
      <w:r>
        <w:br/>
      </w:r>
      <w:r>
        <w:rPr>
          <w:rStyle w:val="VerbatimChar"/>
        </w:rPr>
        <w:t xml:space="preserve">[33] "Pioneer"                 "Punggol"                </w:t>
      </w:r>
      <w:r>
        <w:br/>
      </w:r>
      <w:r>
        <w:rPr>
          <w:rStyle w:val="VerbatimChar"/>
        </w:rPr>
        <w:t xml:space="preserve">[35] "Queenstown"              "River Valley"           </w:t>
      </w:r>
      <w:r>
        <w:br/>
      </w:r>
      <w:r>
        <w:rPr>
          <w:rStyle w:val="VerbatimChar"/>
        </w:rPr>
        <w:t xml:space="preserve">[37] "Rochor"                  "Seletar"                </w:t>
      </w:r>
      <w:r>
        <w:br/>
      </w:r>
      <w:r>
        <w:rPr>
          <w:rStyle w:val="VerbatimChar"/>
        </w:rPr>
        <w:t xml:space="preserve">[39] "Sembawang"               "Sengkang"               </w:t>
      </w:r>
      <w:r>
        <w:br/>
      </w:r>
      <w:r>
        <w:rPr>
          <w:rStyle w:val="VerbatimChar"/>
        </w:rPr>
        <w:t xml:space="preserve">[41] "Serangoon"               "Simpang"                </w:t>
      </w:r>
      <w:r>
        <w:br/>
      </w:r>
      <w:r>
        <w:rPr>
          <w:rStyle w:val="VerbatimChar"/>
        </w:rPr>
        <w:t xml:space="preserve">[43] "Singapore River"         "Southern Islands"       </w:t>
      </w:r>
      <w:r>
        <w:br/>
      </w:r>
      <w:r>
        <w:rPr>
          <w:rStyle w:val="VerbatimChar"/>
        </w:rPr>
        <w:t xml:space="preserve">[45] "Straits View"            "Sungei Kadut"           </w:t>
      </w:r>
      <w:r>
        <w:br/>
      </w:r>
      <w:r>
        <w:rPr>
          <w:rStyle w:val="VerbatimChar"/>
        </w:rPr>
        <w:t xml:space="preserve">[47] "Tampines"                "Tanglin"                </w:t>
      </w:r>
      <w:r>
        <w:br/>
      </w:r>
      <w:r>
        <w:rPr>
          <w:rStyle w:val="VerbatimChar"/>
        </w:rPr>
        <w:t xml:space="preserve">[49] "Tengah"                  "Toa Payoh"              </w:t>
      </w:r>
      <w:r>
        <w:br/>
      </w:r>
      <w:r>
        <w:rPr>
          <w:rStyle w:val="VerbatimChar"/>
        </w:rPr>
        <w:t xml:space="preserve">[51] "Tuas"                    "Western Islands"        </w:t>
      </w:r>
      <w:r>
        <w:br/>
      </w:r>
      <w:r>
        <w:rPr>
          <w:rStyle w:val="VerbatimChar"/>
        </w:rPr>
        <w:t xml:space="preserve">[53] "Western Water Catchment" "Woodlands"              </w:t>
      </w:r>
      <w:r>
        <w:br/>
      </w:r>
      <w:r>
        <w:rPr>
          <w:rStyle w:val="VerbatimChar"/>
        </w:rPr>
        <w:t xml:space="preserve">[55] "Yishun"                 </w:t>
      </w:r>
    </w:p>
    <w:p>
      <w:pPr>
        <w:pStyle w:val="SourceCode"/>
      </w:pPr>
      <w:r>
        <w:rPr>
          <w:rStyle w:val="FunctionTok"/>
        </w:rPr>
        <w:t xml:space="preserve">unique</w:t>
      </w:r>
      <w:r>
        <w:rPr>
          <w:rStyle w:val="NormalTok"/>
        </w:rPr>
        <w:t xml:space="preserve">(pop_data</w:t>
      </w:r>
      <w:r>
        <w:rPr>
          <w:rStyle w:val="SpecialCharTok"/>
        </w:rPr>
        <w:t xml:space="preserve">$</w:t>
      </w:r>
      <w:r>
        <w:rPr>
          <w:rStyle w:val="NormalTok"/>
        </w:rPr>
        <w:t xml:space="preserve">Sex)</w:t>
      </w:r>
    </w:p>
    <w:p>
      <w:pPr>
        <w:pStyle w:val="SourceCode"/>
      </w:pPr>
      <w:r>
        <w:rPr>
          <w:rStyle w:val="VerbatimChar"/>
        </w:rPr>
        <w:t xml:space="preserve">[1] "Males"   "Females"</w:t>
      </w:r>
    </w:p>
    <w:p>
      <w:pPr>
        <w:pStyle w:val="SourceCode"/>
      </w:pPr>
      <w:r>
        <w:rPr>
          <w:rStyle w:val="FunctionTok"/>
        </w:rPr>
        <w:t xml:space="preserve">range</w:t>
      </w:r>
      <w:r>
        <w:rPr>
          <w:rStyle w:val="NormalTok"/>
        </w:rPr>
        <w:t xml:space="preserve">(pop_data</w:t>
      </w:r>
      <w:r>
        <w:rPr>
          <w:rStyle w:val="SpecialCharTok"/>
        </w:rPr>
        <w:t xml:space="preserve">$</w:t>
      </w:r>
      <w:r>
        <w:rPr>
          <w:rStyle w:val="NormalTok"/>
        </w:rPr>
        <w:t xml:space="preserve">Age)</w:t>
      </w:r>
    </w:p>
    <w:p>
      <w:pPr>
        <w:pStyle w:val="SourceCode"/>
      </w:pPr>
      <w:r>
        <w:rPr>
          <w:rStyle w:val="VerbatimChar"/>
        </w:rPr>
        <w:t xml:space="preserve">[1] "0"           "90_and_Over"</w:t>
      </w:r>
    </w:p>
    <w:bookmarkEnd w:id="26"/>
    <w:bookmarkEnd w:id="27"/>
    <w:bookmarkStart w:id="47" w:name="data-visualisation"/>
    <w:p>
      <w:pPr>
        <w:pStyle w:val="Heading1"/>
      </w:pPr>
      <w:r>
        <w:t xml:space="preserve">3. Data Visualisation</w:t>
      </w:r>
    </w:p>
    <w:p>
      <w:pPr>
        <w:pStyle w:val="FirstParagraph"/>
      </w:pPr>
      <w:r>
        <w:t xml:space="preserve">“Singapore’s aging population is unevenly distributed, with certain regions showing both higher elderly concentration and overall population size — posing specific challenges for urban planning and services.”</w:t>
      </w:r>
    </w:p>
    <w:bookmarkStart w:id="34" w:name="population-pyramid-sex-vs-age"/>
    <w:p>
      <w:pPr>
        <w:pStyle w:val="Heading2"/>
      </w:pPr>
      <w:r>
        <w:t xml:space="preserve">3.1. Population pyramid (Sex vs Age)</w:t>
      </w:r>
    </w:p>
    <w:p>
      <w:pPr>
        <w:pStyle w:val="SourceCode"/>
      </w:pPr>
      <w:r>
        <w:rPr>
          <w:rStyle w:val="NormalTok"/>
        </w:rPr>
        <w:t xml:space="preserve">pyramid_data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group_by</w:t>
      </w:r>
      <w:r>
        <w:rPr>
          <w:rStyle w:val="NormalTok"/>
        </w:rPr>
        <w:t xml:space="preserve">(Age,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abs)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"#102E50"</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"#F7CFD8"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"Singapore Age Pyramid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Take-home_Ex01A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cindy\AppData\Local\Program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Findings for Figure 1</w:t>
            </w:r>
          </w:p>
        </w:tc>
      </w:tr>
      <w:tr>
        <w:trPr>
          <w:cantSplit/>
        </w:trPr>
        <w:tc>
          <w:tcPr>
            <w:tcMar>
              <w:top w:w="108" w:type="dxa"/>
              <w:bottom w:w="108" w:type="dxa"/>
            </w:tcMar>
          </w:tcPr>
          <w:p>
            <w:pPr>
              <w:pStyle w:val="Compact"/>
              <w:numPr>
                <w:ilvl w:val="0"/>
                <w:numId w:val="1002"/>
              </w:numPr>
            </w:pPr>
            <w:r>
              <w:t xml:space="preserve">The age pyramid shows a broad base narrowing progressively with age, typical of a developed country.</w:t>
            </w:r>
          </w:p>
          <w:p>
            <w:pPr>
              <w:pStyle w:val="Compact"/>
              <w:numPr>
                <w:ilvl w:val="0"/>
                <w:numId w:val="1002"/>
              </w:numPr>
            </w:pPr>
            <w:r>
              <w:t xml:space="preserve">Females dominate the older age brackets (70+), reflecting longer life expectancy.</w:t>
            </w:r>
          </w:p>
          <w:p>
            <w:pPr>
              <w:pStyle w:val="Compact"/>
              <w:numPr>
                <w:ilvl w:val="0"/>
                <w:numId w:val="1002"/>
              </w:numPr>
            </w:pPr>
            <w:r>
              <w:t xml:space="preserve">The working-age population (30–50) appears stable.</w:t>
            </w:r>
          </w:p>
        </w:tc>
      </w:tr>
    </w:tbl>
    <w:bookmarkEnd w:id="34"/>
    <w:bookmarkStart w:id="40" w:name="X2a0fb0c2585804e5621ea36c9cc8edbc546266a"/>
    <w:p>
      <w:pPr>
        <w:pStyle w:val="Heading2"/>
      </w:pPr>
      <w:r>
        <w:t xml:space="preserve">3.2. Top 20 most popular planning areas with elderly population shown</w:t>
      </w:r>
    </w:p>
    <w:p>
      <w:pPr>
        <w:pStyle w:val="SourceCode"/>
      </w:pPr>
      <w:r>
        <w:rPr>
          <w:rStyle w:val="FunctionTok"/>
        </w:rPr>
        <w:t xml:space="preserve">library</w:t>
      </w:r>
      <w:r>
        <w:rPr>
          <w:rStyle w:val="NormalTok"/>
        </w:rPr>
        <w:t xml:space="preserve">(tidyverse)</w:t>
      </w:r>
      <w:r>
        <w:br/>
      </w:r>
      <w:r>
        <w:br/>
      </w:r>
      <w:r>
        <w:rPr>
          <w:rStyle w:val="CommentTok"/>
        </w:rPr>
        <w:t xml:space="preserve"># Summarise total and elderly population by PA</w:t>
      </w:r>
      <w:r>
        <w:br/>
      </w:r>
      <w:r>
        <w:rPr>
          <w:rStyle w:val="NormalTok"/>
        </w:rPr>
        <w:t xml:space="preserve">top_areas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(Pop),</w:t>
      </w:r>
      <w:r>
        <w:br/>
      </w:r>
      <w:r>
        <w:rPr>
          <w:rStyle w:val="NormalTok"/>
        </w:rPr>
        <w:t xml:space="preserve">    </w:t>
      </w:r>
      <w:r>
        <w:rPr>
          <w:rStyle w:val="AttributeTok"/>
        </w:rPr>
        <w:t xml:space="preserve">Elderly =</w:t>
      </w:r>
      <w:r>
        <w:rPr>
          <w:rStyle w:val="NormalTok"/>
        </w:rPr>
        <w:t xml:space="preserve"> </w:t>
      </w:r>
      <w:r>
        <w:rPr>
          <w:rStyle w:val="FunctionTok"/>
        </w:rPr>
        <w:t xml:space="preserve">sum</w:t>
      </w:r>
      <w:r>
        <w:rPr>
          <w:rStyle w:val="NormalTok"/>
        </w:rPr>
        <w:t xml:space="preserve">(Pop[Age </w:t>
      </w:r>
      <w:r>
        <w:rPr>
          <w:rStyle w:val="SpecialCharTok"/>
        </w:rPr>
        <w:t xml:space="preserve">&gt;=</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DecValTok"/>
        </w:rPr>
        <w:t xml:space="preserve">15</w:t>
      </w:r>
      <w:r>
        <w:rPr>
          <w:rStyle w:val="NormalTok"/>
        </w:rPr>
        <w:t xml:space="preserve">, Total)  </w:t>
      </w:r>
      <w:r>
        <w:rPr>
          <w:rStyle w:val="CommentTok"/>
        </w:rPr>
        <w:t xml:space="preserve"># or 20 if you prefer</w:t>
      </w:r>
      <w:r>
        <w:br/>
      </w:r>
      <w:r>
        <w:br/>
      </w:r>
      <w:r>
        <w:rPr>
          <w:rStyle w:val="CommentTok"/>
        </w:rPr>
        <w:t xml:space="preserve"># Reshape into long format for grouped bars</w:t>
      </w:r>
      <w:r>
        <w:br/>
      </w:r>
      <w:r>
        <w:rPr>
          <w:rStyle w:val="NormalTok"/>
        </w:rPr>
        <w:t xml:space="preserve">plot_data </w:t>
      </w:r>
      <w:r>
        <w:rPr>
          <w:rStyle w:val="OtherTok"/>
        </w:rPr>
        <w:t xml:space="preserve">&lt;-</w:t>
      </w:r>
      <w:r>
        <w:rPr>
          <w:rStyle w:val="NormalTok"/>
        </w:rPr>
        <w:t xml:space="preserve"> top_areas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(Total, Elderly),</w:t>
      </w:r>
      <w:r>
        <w:br/>
      </w:r>
      <w:r>
        <w:rPr>
          <w:rStyle w:val="NormalTok"/>
        </w:rPr>
        <w:t xml:space="preserve">               </w:t>
      </w:r>
      <w:r>
        <w:rPr>
          <w:rStyle w:val="AttributeTok"/>
        </w:rPr>
        <w:t xml:space="preserve">names_to =</w:t>
      </w:r>
      <w:r>
        <w:rPr>
          <w:rStyle w:val="NormalTok"/>
        </w:rPr>
        <w:t xml:space="preserve"> </w:t>
      </w:r>
      <w:r>
        <w:rPr>
          <w:rStyle w:val="StringTok"/>
        </w:rPr>
        <w:t xml:space="preserve">"Type"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"Population"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recode</w:t>
      </w:r>
      <w:r>
        <w:rPr>
          <w:rStyle w:val="NormalTok"/>
        </w:rPr>
        <w:t xml:space="preserve">(Type,</w:t>
      </w:r>
      <w:r>
        <w:br/>
      </w:r>
      <w:r>
        <w:rPr>
          <w:rStyle w:val="NormalTok"/>
        </w:rPr>
        <w:t xml:space="preserve">                  </w:t>
      </w:r>
      <w:r>
        <w:rPr>
          <w:rStyle w:val="StringTok"/>
        </w:rPr>
        <w:t xml:space="preserve">"Total"</w:t>
      </w:r>
      <w:r>
        <w:rPr>
          <w:rStyle w:val="NormalTok"/>
        </w:rPr>
        <w:t xml:space="preserve"> </w:t>
      </w:r>
      <w:r>
        <w:rPr>
          <w:rStyle w:val="OtherTok"/>
        </w:rPr>
        <w:t xml:space="preserve">=</w:t>
      </w:r>
      <w:r>
        <w:rPr>
          <w:rStyle w:val="NormalTok"/>
        </w:rPr>
        <w:t xml:space="preserve"> </w:t>
      </w:r>
      <w:r>
        <w:rPr>
          <w:rStyle w:val="StringTok"/>
        </w:rPr>
        <w:t xml:space="preserve">"Total Population"</w:t>
      </w:r>
      <w:r>
        <w:rPr>
          <w:rStyle w:val="NormalTok"/>
        </w:rPr>
        <w:t xml:space="preserve">,</w:t>
      </w:r>
      <w:r>
        <w:br/>
      </w:r>
      <w:r>
        <w:rPr>
          <w:rStyle w:val="NormalTok"/>
        </w:rPr>
        <w:t xml:space="preserve">                  </w:t>
      </w:r>
      <w:r>
        <w:rPr>
          <w:rStyle w:val="StringTok"/>
        </w:rPr>
        <w:t xml:space="preserve">"Elderly"</w:t>
      </w:r>
      <w:r>
        <w:rPr>
          <w:rStyle w:val="NormalTok"/>
        </w:rPr>
        <w:t xml:space="preserve"> </w:t>
      </w:r>
      <w:r>
        <w:rPr>
          <w:rStyle w:val="OtherTok"/>
        </w:rPr>
        <w:t xml:space="preserve">=</w:t>
      </w:r>
      <w:r>
        <w:rPr>
          <w:rStyle w:val="NormalTok"/>
        </w:rPr>
        <w:t xml:space="preserve"> </w:t>
      </w:r>
      <w:r>
        <w:rPr>
          <w:rStyle w:val="StringTok"/>
        </w:rPr>
        <w:t xml:space="preserve">"Elderly (65+)"</w:t>
      </w:r>
      <w:r>
        <w:rPr>
          <w:rStyle w:val="NormalTok"/>
        </w:rPr>
        <w:t xml:space="preserve">)</w:t>
      </w:r>
      <w:r>
        <w:br/>
      </w:r>
      <w:r>
        <w:rPr>
          <w:rStyle w:val="NormalTok"/>
        </w:rPr>
        <w:t xml:space="preserve">  )</w:t>
      </w:r>
      <w:r>
        <w:br/>
      </w:r>
      <w:r>
        <w:rPr>
          <w:rStyle w:val="CommentTok"/>
        </w:rPr>
        <w:t xml:space="preserve"># Reorder PA by Total Population (not elderly)</w:t>
      </w:r>
      <w:r>
        <w:br/>
      </w:r>
      <w:r>
        <w:rPr>
          <w:rStyle w:val="NormalTok"/>
        </w:rPr>
        <w:t xml:space="preserve">plot_data </w:t>
      </w:r>
      <w:r>
        <w:rPr>
          <w:rStyle w:val="OtherTok"/>
        </w:rPr>
        <w:t xml:space="preserve">&lt;-</w:t>
      </w:r>
      <w:r>
        <w:rPr>
          <w:rStyle w:val="NormalTok"/>
        </w:rPr>
        <w:t xml:space="preserve"> plot_data </w:t>
      </w:r>
      <w:r>
        <w:rPr>
          <w:rStyle w:val="SpecialCharTok"/>
        </w:rPr>
        <w:t xml:space="preserve">%&gt;%</w:t>
      </w:r>
      <w:r>
        <w:br/>
      </w:r>
      <w:r>
        <w:rPr>
          <w:rStyle w:val="NormalTok"/>
        </w:rPr>
        <w:t xml:space="preserve">  </w:t>
      </w:r>
      <w:r>
        <w:rPr>
          <w:rStyle w:val="FunctionTok"/>
        </w:rPr>
        <w:t xml:space="preserve">left_join</w:t>
      </w:r>
      <w:r>
        <w:rPr>
          <w:rStyle w:val="NormalTok"/>
        </w:rPr>
        <w:t xml:space="preserve">(top_areas </w:t>
      </w:r>
      <w:r>
        <w:rPr>
          <w:rStyle w:val="SpecialCharTok"/>
        </w:rPr>
        <w:t xml:space="preserve">%&gt;%</w:t>
      </w:r>
      <w:r>
        <w:rPr>
          <w:rStyle w:val="NormalTok"/>
        </w:rPr>
        <w:t xml:space="preserve"> </w:t>
      </w:r>
      <w:r>
        <w:rPr>
          <w:rStyle w:val="FunctionTok"/>
        </w:rPr>
        <w:t xml:space="preserve">select</w:t>
      </w:r>
      <w:r>
        <w:rPr>
          <w:rStyle w:val="NormalTok"/>
        </w:rPr>
        <w:t xml:space="preserve">(PA, Total), </w:t>
      </w:r>
      <w:r>
        <w:rPr>
          <w:rStyle w:val="AttributeTok"/>
        </w:rPr>
        <w:t xml:space="preserve">by =</w:t>
      </w:r>
      <w:r>
        <w:rPr>
          <w:rStyle w:val="NormalTok"/>
        </w:rPr>
        <w:t xml:space="preserve"> </w:t>
      </w:r>
      <w:r>
        <w:rPr>
          <w:rStyle w:val="StringTok"/>
        </w:rPr>
        <w:t xml:space="preserve">"PA"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fct_reorder</w:t>
      </w:r>
      <w:r>
        <w:rPr>
          <w:rStyle w:val="NormalTok"/>
        </w:rPr>
        <w:t xml:space="preserve">(PA, Total, </w:t>
      </w:r>
      <w:r>
        <w:rPr>
          <w:rStyle w:val="AttributeTok"/>
        </w:rPr>
        <w:t xml:space="preserve">.desc =</w:t>
      </w:r>
      <w:r>
        <w:rPr>
          <w:rStyle w:val="NormalTok"/>
        </w:rPr>
        <w:t xml:space="preserve"> </w:t>
      </w:r>
      <w:r>
        <w:rPr>
          <w:rStyle w:val="ConstantTok"/>
        </w:rPr>
        <w:t xml:space="preserve">FALSE</w:t>
      </w:r>
      <w:r>
        <w:rPr>
          <w:rStyle w:val="NormalTok"/>
        </w:rPr>
        <w:t xml:space="preserve">))  </w:t>
      </w:r>
      <w:r>
        <w:rPr>
          <w:rStyle w:val="CommentTok"/>
        </w:rPr>
        <w:t xml:space="preserve"># use forcats::fct_reorder</w:t>
      </w:r>
    </w:p>
    <w:p>
      <w:pPr>
        <w:pStyle w:val="SourceCode"/>
      </w:pP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PA, </w:t>
      </w:r>
      <w:r>
        <w:rPr>
          <w:rStyle w:val="AttributeTok"/>
        </w:rPr>
        <w:t xml:space="preserve">y =</w:t>
      </w:r>
      <w:r>
        <w:rPr>
          <w:rStyle w:val="NormalTok"/>
        </w:rPr>
        <w:t xml:space="preserve"> Population, </w:t>
      </w:r>
      <w:r>
        <w:rPr>
          <w:rStyle w:val="AttributeTok"/>
        </w:rPr>
        <w:t xml:space="preserve">fill =</w:t>
      </w:r>
      <w:r>
        <w:rPr>
          <w:rStyle w:val="NormalTok"/>
        </w:rPr>
        <w:t xml:space="preserve"> 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(Population)),</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"Total Population"</w:t>
      </w:r>
      <w:r>
        <w:rPr>
          <w:rStyle w:val="NormalTok"/>
        </w:rPr>
        <w:t xml:space="preserve"> </w:t>
      </w:r>
      <w:r>
        <w:rPr>
          <w:rStyle w:val="OtherTok"/>
        </w:rPr>
        <w:t xml:space="preserve">=</w:t>
      </w:r>
      <w:r>
        <w:rPr>
          <w:rStyle w:val="NormalTok"/>
        </w:rPr>
        <w:t xml:space="preserve"> </w:t>
      </w:r>
      <w:r>
        <w:rPr>
          <w:rStyle w:val="StringTok"/>
        </w:rPr>
        <w:t xml:space="preserve">"#8E7DBE"</w:t>
      </w:r>
      <w:r>
        <w:rPr>
          <w:rStyle w:val="NormalTok"/>
        </w:rPr>
        <w:t xml:space="preserve">, </w:t>
      </w:r>
      <w:r>
        <w:rPr>
          <w:rStyle w:val="StringTok"/>
        </w:rPr>
        <w:t xml:space="preserve">"Elderly (65+)"</w:t>
      </w:r>
      <w:r>
        <w:rPr>
          <w:rStyle w:val="NormalTok"/>
        </w:rPr>
        <w:t xml:space="preserve"> </w:t>
      </w:r>
      <w:r>
        <w:rPr>
          <w:rStyle w:val="OtherTok"/>
        </w:rPr>
        <w:t xml:space="preserve">=</w:t>
      </w:r>
      <w:r>
        <w:rPr>
          <w:rStyle w:val="NormalTok"/>
        </w:rPr>
        <w:t xml:space="preserve"> </w:t>
      </w:r>
      <w:r>
        <w:rPr>
          <w:rStyle w:val="StringTok"/>
        </w:rPr>
        <w:t xml:space="preserve">"#EFC000"</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vs Elderly Population in Top Planning Areas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Take-home_Ex01A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cindy\AppData\Local\Programs\Quarto\share\formats\docx\note.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Findings for Figure 2</w:t>
            </w:r>
          </w:p>
        </w:tc>
      </w:tr>
      <w:tr>
        <w:trPr>
          <w:cantSplit/>
        </w:trPr>
        <w:tc>
          <w:tcPr>
            <w:tcMar>
              <w:top w:w="108" w:type="dxa"/>
              <w:bottom w:w="108" w:type="dxa"/>
            </w:tcMar>
          </w:tcPr>
          <w:p>
            <w:pPr>
              <w:numPr>
                <w:ilvl w:val="0"/>
                <w:numId w:val="1003"/>
              </w:numPr>
            </w:pPr>
            <w:r>
              <w:t xml:space="preserve">Tampines, Bedok, and Sengkang have the largest total populations.</w:t>
            </w:r>
          </w:p>
          <w:p>
            <w:pPr>
              <w:numPr>
                <w:ilvl w:val="0"/>
                <w:numId w:val="1003"/>
              </w:numPr>
            </w:pPr>
            <w:r>
              <w:t xml:space="preserve">Bedok stands out with ~70,000 elderly residents.</w:t>
            </w:r>
          </w:p>
          <w:p>
            <w:pPr>
              <w:numPr>
                <w:ilvl w:val="0"/>
                <w:numId w:val="1003"/>
              </w:numPr>
            </w:pPr>
            <w:r>
              <w:t xml:space="preserve">Punggol has a younger demographic despite its size.</w:t>
            </w:r>
          </w:p>
        </w:tc>
      </w:tr>
    </w:tbl>
    <w:bookmarkEnd w:id="40"/>
    <w:bookmarkStart w:id="46" w:name="Xe55bdcf7f6c30eff99a4c48773eff92d2a5eea2"/>
    <w:p>
      <w:pPr>
        <w:pStyle w:val="Heading2"/>
      </w:pPr>
      <w:r>
        <w:t xml:space="preserve">3.3. Elderly Population Share (%) by Planning Area</w:t>
      </w:r>
    </w:p>
    <w:p>
      <w:pPr>
        <w:pStyle w:val="SourceCode"/>
      </w:pPr>
      <w:r>
        <w:rPr>
          <w:rStyle w:val="NormalTok"/>
        </w:rPr>
        <w:t xml:space="preserve">elderly_pct_data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Elderly =</w:t>
      </w:r>
      <w:r>
        <w:rPr>
          <w:rStyle w:val="NormalTok"/>
        </w:rPr>
        <w:t xml:space="preserve"> </w:t>
      </w:r>
      <w:r>
        <w:rPr>
          <w:rStyle w:val="FunctionTok"/>
        </w:rPr>
        <w:t xml:space="preserve">sum</w:t>
      </w:r>
      <w:r>
        <w:rPr>
          <w:rStyle w:val="NormalTok"/>
        </w:rPr>
        <w:t xml:space="preserve">(Pop[Age </w:t>
      </w:r>
      <w:r>
        <w:rPr>
          <w:rStyle w:val="SpecialCharTok"/>
        </w:rPr>
        <w:t xml:space="preserve">&gt;=</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(Pop),</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ElderlyPct =</w:t>
      </w:r>
      <w:r>
        <w:rPr>
          <w:rStyle w:val="NormalTok"/>
        </w:rPr>
        <w:t xml:space="preserve"> Elderly </w:t>
      </w:r>
      <w:r>
        <w:rPr>
          <w:rStyle w:val="SpecialCharTok"/>
        </w:rPr>
        <w:t xml:space="preserve">/</w:t>
      </w:r>
      <w:r>
        <w:rPr>
          <w:rStyle w:val="NormalTok"/>
        </w:rPr>
        <w:t xml:space="preserve"> Total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(ElderlyPct))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20</w:t>
      </w:r>
      <w:r>
        <w:rPr>
          <w:rStyle w:val="NormalTok"/>
        </w:rPr>
        <w:t xml:space="preserve">)  </w:t>
      </w:r>
      <w:r>
        <w:rPr>
          <w:rStyle w:val="CommentTok"/>
        </w:rPr>
        <w:t xml:space="preserve"># or more, depending on your needs</w:t>
      </w:r>
    </w:p>
    <w:p>
      <w:pPr>
        <w:pStyle w:val="SourceCode"/>
      </w:pPr>
      <w:r>
        <w:rPr>
          <w:rStyle w:val="FunctionTok"/>
        </w:rPr>
        <w:t xml:space="preserve">ggplot</w:t>
      </w:r>
      <w:r>
        <w:rPr>
          <w:rStyle w:val="NormalTok"/>
        </w:rPr>
        <w:t xml:space="preserve">(elderly_pct_data,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ElderlyPct), </w:t>
      </w:r>
      <w:r>
        <w:rPr>
          <w:rStyle w:val="AttributeTok"/>
        </w:rPr>
        <w:t xml:space="preserve">y =</w:t>
      </w:r>
      <w:r>
        <w:rPr>
          <w:rStyle w:val="NormalTok"/>
        </w:rPr>
        <w:t xml:space="preserve"> ElderlyPct))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"#EFC000"</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Planning Areas by Elderly Share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"Elderly Population (%)"</w:t>
      </w:r>
      <w:r>
        <w:br/>
      </w:r>
      <w:r>
        <w:rPr>
          <w:rStyle w:val="NormalTok"/>
        </w:rPr>
        <w:t xml:space="preserve">  )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Take-home_Ex01A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Users\cindy\AppData\Local\Programs\Quarto\share\formats\docx\note.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Findings for Figure 3</w:t>
            </w:r>
          </w:p>
        </w:tc>
      </w:tr>
      <w:tr>
        <w:trPr>
          <w:cantSplit/>
        </w:trPr>
        <w:tc>
          <w:tcPr>
            <w:tcMar>
              <w:top w:w="108" w:type="dxa"/>
              <w:bottom w:w="108" w:type="dxa"/>
            </w:tcMar>
          </w:tcPr>
          <w:p>
            <w:pPr>
              <w:pStyle w:val="Compact"/>
              <w:numPr>
                <w:ilvl w:val="0"/>
                <w:numId w:val="1004"/>
              </w:numPr>
            </w:pPr>
            <w:r>
              <w:t xml:space="preserve">Outram, Ang Mo Kio, and Bukit Merah have the highest elderly population shares, each with over 25% of their residents aged 65 and above.</w:t>
            </w:r>
          </w:p>
          <w:p>
            <w:pPr>
              <w:pStyle w:val="Compact"/>
              <w:numPr>
                <w:ilvl w:val="0"/>
                <w:numId w:val="1004"/>
              </w:numPr>
            </w:pPr>
            <w:r>
              <w:t xml:space="preserve">Central and mature estates (e.g., Rochor, Toa Payoh, Queenstown) consistently appear in the top rankings for elderly proportion, highlighting the ageing nature of Singapore’s older housing estates.</w:t>
            </w:r>
          </w:p>
          <w:p>
            <w:pPr>
              <w:pStyle w:val="Compact"/>
              <w:numPr>
                <w:ilvl w:val="0"/>
                <w:numId w:val="1004"/>
              </w:numPr>
            </w:pPr>
            <w:r>
              <w:t xml:space="preserve">In contrast, larger but newer areas like Tampines and Punggol have lower elderly shares (below 20%), indicating a younger overall population.</w:t>
            </w:r>
          </w:p>
        </w:tc>
      </w:tr>
    </w:tbl>
    <w:bookmarkEnd w:id="46"/>
    <w:bookmarkEnd w:id="47"/>
    <w:bookmarkStart w:id="48" w:name="conclusion"/>
    <w:p>
      <w:pPr>
        <w:pStyle w:val="Heading1"/>
      </w:pPr>
      <w:r>
        <w:t xml:space="preserve">4. Conclusion</w:t>
      </w:r>
    </w:p>
    <w:p>
      <w:pPr>
        <w:pStyle w:val="FirstParagraph"/>
      </w:pPr>
      <w:r>
        <w:t xml:space="preserve">The analysis of Singapore’s 2024 demographic structure highlights several key findings:</w:t>
      </w:r>
    </w:p>
    <w:p>
      <w:pPr>
        <w:numPr>
          <w:ilvl w:val="0"/>
          <w:numId w:val="1005"/>
        </w:numPr>
      </w:pPr>
      <w:r>
        <w:t xml:space="preserve">Balanced Gender Distribution: The national age pyramid shows a fairly balanced distribution between males and females across most age groups, though the female population dominates at older ages (70+), reflecting longer life expectancy among women. ️</w:t>
      </w:r>
    </w:p>
    <w:p>
      <w:pPr>
        <w:numPr>
          <w:ilvl w:val="0"/>
          <w:numId w:val="1005"/>
        </w:numPr>
      </w:pPr>
      <w:r>
        <w:t xml:space="preserve">High Elderly Counts in Large Towns: Tampines, Bedok, and Sengkang have the largest total populations and also significant absolute numbers of elderly residents (e.g., Bedok: ~70,000 aged 65+). This suggests that elderly care demand is not only in older towns but also in larger ones.</w:t>
      </w:r>
    </w:p>
    <w:p>
      <w:pPr>
        <w:numPr>
          <w:ilvl w:val="0"/>
          <w:numId w:val="1005"/>
        </w:numPr>
      </w:pPr>
      <w:r>
        <w:t xml:space="preserve">Ageing Hotspots: When measured by the proportion of elderly (65+), smaller central areas like Outram, Ang Mo Kio, and Bukit Merah show the highest elderly shares (over 25% of their populations). These are mature estates that may require priority attention for ageing-in-place policies.</w:t>
      </w:r>
    </w:p>
    <w:bookmarkEnd w:id="48"/>
    <w:bookmarkStart w:id="50" w:name="reference"/>
    <w:p>
      <w:pPr>
        <w:pStyle w:val="Heading1"/>
      </w:pPr>
      <w:r>
        <w:t xml:space="preserve">5. Reference</w:t>
      </w:r>
    </w:p>
    <w:p>
      <w:pPr>
        <w:pStyle w:val="FirstParagraph"/>
      </w:pPr>
      <w:hyperlink r:id="rId49">
        <w:r>
          <w:rPr>
            <w:rStyle w:val="Hyperlink"/>
            <w:i/>
            <w:iCs/>
          </w:rPr>
          <w:t xml:space="preserve">Singapore Residents by Planning Area / Subzone, Single Year of Age and Sex, June 2024</w:t>
        </w:r>
      </w:hyperlink>
    </w:p>
    <w:bookmarkEnd w:id="50"/>
    <w:bookmarkStart w:id="51" w:name="take-home-exercise-01---phase-2"/>
    <w:p>
      <w:pPr>
        <w:pStyle w:val="Heading1"/>
      </w:pPr>
      <w:r>
        <w:rPr>
          <w:b/>
          <w:bCs/>
        </w:rPr>
        <w:t xml:space="preserve">TAKE-HOME EXERCISE 01 - PHASE 2</w:t>
      </w:r>
    </w:p>
    <w:bookmarkEnd w:id="51"/>
    <w:bookmarkStart w:id="53" w:name="the-task-1"/>
    <w:p>
      <w:pPr>
        <w:pStyle w:val="Heading1"/>
      </w:pPr>
      <w:r>
        <w:t xml:space="preserve">1. The task</w:t>
      </w:r>
    </w:p>
    <w:p>
      <w:pPr>
        <w:pStyle w:val="FirstParagraph"/>
      </w:pPr>
      <w:r>
        <w:t xml:space="preserve">Selecting one submission provided by your classmate, critic three good design principles and three areas for further improvement. With reference to the comment, prepare the makeover version of the data visualization.</w:t>
      </w:r>
    </w:p>
    <w:p>
      <w:pPr>
        <w:pStyle w:val="BodyText"/>
      </w:pPr>
      <w:hyperlink r:id="rId52">
        <w:r>
          <w:rPr>
            <w:rStyle w:val="Hyperlink"/>
            <w:i/>
            <w:iCs/>
          </w:rPr>
          <w:t xml:space="preserve">My peer’s work</w:t>
        </w:r>
      </w:hyperlink>
    </w:p>
    <w:bookmarkEnd w:id="53"/>
    <w:bookmarkStart w:id="60" w:name="comments-on-the-work"/>
    <w:p>
      <w:pPr>
        <w:pStyle w:val="Heading1"/>
      </w:pPr>
      <w:r>
        <w:t xml:space="preserve">2. Comments on the Work</w:t>
      </w:r>
    </w:p>
    <w:bookmarkStart w:id="54" w:name="three-good-design-principles"/>
    <w:p>
      <w:pPr>
        <w:pStyle w:val="Heading2"/>
      </w:pPr>
      <w:r>
        <w:t xml:space="preserve">2.1. Three Good Design Principles</w:t>
      </w:r>
    </w:p>
    <w:p>
      <w:pPr>
        <w:numPr>
          <w:ilvl w:val="0"/>
          <w:numId w:val="1006"/>
        </w:numPr>
      </w:pPr>
      <w:r>
        <w:t xml:space="preserve">Clear Narrative &amp; Structure The submission provides a clear introduction, context, and explanation for each chart, ensuring the reader understands the purpose of the visualizations. Sections are well-organized with descriptive headings (e.g.,</w:t>
      </w:r>
      <w:r>
        <w:t xml:space="preserve"> </w:t>
      </w:r>
      <w:r>
        <w:t xml:space="preserve">“Top 28 Planning Areas by Total Population”</w:t>
      </w:r>
      <w:r>
        <w:t xml:space="preserve">).</w:t>
      </w:r>
    </w:p>
    <w:p>
      <w:pPr>
        <w:numPr>
          <w:ilvl w:val="0"/>
          <w:numId w:val="1006"/>
        </w:numPr>
      </w:pPr>
      <w:r>
        <w:t xml:space="preserve">Effective Chart Titles &amp; Labels Each chart includes concise titles, axis labels, and legends, which make it very easy to interpret the visuals at a glance. The population counts are also nicely formatted (e.g., using commas).</w:t>
      </w:r>
    </w:p>
    <w:p>
      <w:pPr>
        <w:numPr>
          <w:ilvl w:val="0"/>
          <w:numId w:val="1006"/>
        </w:numPr>
      </w:pPr>
      <w:r>
        <w:t xml:space="preserve">Consistent Styling &amp; Theme The use of a consistent minimal theme (theme_minimal()) and a cohesive color scheme across charts (e.g., blue for males, red/pink for females) helps maintain a professional and unified look.</w:t>
      </w:r>
    </w:p>
    <w:bookmarkEnd w:id="54"/>
    <w:bookmarkStart w:id="55" w:name="three-areas-for-improvements"/>
    <w:p>
      <w:pPr>
        <w:pStyle w:val="Heading2"/>
      </w:pPr>
      <w:r>
        <w:t xml:space="preserve">2.2. Three Areas for Improvements</w:t>
      </w:r>
    </w:p>
    <w:p>
      <w:pPr>
        <w:numPr>
          <w:ilvl w:val="0"/>
          <w:numId w:val="1007"/>
        </w:numPr>
      </w:pPr>
      <w:r>
        <w:t xml:space="preserve">Color Accessibility While the color scheme is clean, the blue and pink/red tones might be hard to distinguish for colorblind users. Using a colorblind-friendly palette (e.g., via viridis or RColorBrewer) would make the charts more inclusive.</w:t>
      </w:r>
    </w:p>
    <w:p>
      <w:pPr>
        <w:numPr>
          <w:ilvl w:val="0"/>
          <w:numId w:val="1007"/>
        </w:numPr>
      </w:pPr>
      <w:r>
        <w:t xml:space="preserve">Chart Density &amp; Layout The combined plot (Section 3.1.3) has a large white gap between the two charts (because of the spacer in plot_layout()). This disrupts visual flow. The layout could be improved by: Placing the charts side by side if space allows, Or reducing the spacer height for a tighter design.</w:t>
      </w:r>
    </w:p>
    <w:p>
      <w:pPr>
        <w:numPr>
          <w:ilvl w:val="0"/>
          <w:numId w:val="1007"/>
        </w:numPr>
      </w:pPr>
      <w:r>
        <w:t xml:space="preserve">Population Pyramid Facet Scaling In the population pyramids (Section 3.2), the facet_wrap uses scales =</w:t>
      </w:r>
      <w:r>
        <w:t xml:space="preserve"> </w:t>
      </w:r>
      <w:r>
        <w:t xml:space="preserve">“free_y”</w:t>
      </w:r>
      <w:r>
        <w:t xml:space="preserve">, causing inconsistent y-axis scales across facets. This makes it harder to compare populations between areas. Using a fixed y-scale or at least adding annotations explaining the difference would improve interpretability.</w:t>
      </w:r>
    </w:p>
    <w:bookmarkEnd w:id="55"/>
    <w:bookmarkStart w:id="59" w:name="X4299e8472ee08b5a761a8c7220ff314cf9dfe66"/>
    <w:p>
      <w:pPr>
        <w:pStyle w:val="Heading2"/>
      </w:pPr>
      <w:r>
        <w:t xml:space="preserve">2.3. Makeover Version of the data visualization</w:t>
      </w:r>
    </w:p>
    <w:p>
      <w:pPr>
        <w:pStyle w:val="FirstParagraph"/>
      </w:pPr>
      <w:r>
        <w:t xml:space="preserve">Improved Layout for Combined Plot</w:t>
      </w:r>
    </w:p>
    <w:p>
      <w:pPr>
        <w:pStyle w:val="SourceCode"/>
      </w:pPr>
      <w:r>
        <w:rPr>
          <w:rStyle w:val="NormalTok"/>
        </w:rPr>
        <w:t xml:space="preserve">sg_res </w:t>
      </w:r>
      <w:r>
        <w:rPr>
          <w:rStyle w:val="OtherTok"/>
        </w:rPr>
        <w:t xml:space="preserve">&lt;-</w:t>
      </w:r>
      <w:r>
        <w:rPr>
          <w:rStyle w:val="NormalTok"/>
        </w:rPr>
        <w:t xml:space="preserve"> pop_data</w:t>
      </w:r>
      <w:r>
        <w:br/>
      </w:r>
      <w:r>
        <w:br/>
      </w:r>
      <w:r>
        <w:rPr>
          <w:rStyle w:val="CommentTok"/>
        </w:rPr>
        <w:t xml:space="preserve"># Original code</w:t>
      </w:r>
      <w:r>
        <w:br/>
      </w:r>
      <w:r>
        <w:rPr>
          <w:rStyle w:val="NormalTok"/>
        </w:rPr>
        <w:t xml:space="preserve">top_24_pas </w:t>
      </w:r>
      <w:r>
        <w:rPr>
          <w:rStyle w:val="OtherTok"/>
        </w:rPr>
        <w:t xml:space="preserve">&lt;-</w:t>
      </w:r>
      <w:r>
        <w:rPr>
          <w:rStyle w:val="NormalTok"/>
        </w:rPr>
        <w:t xml:space="preserve"> sg_res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Total, </w:t>
      </w:r>
      <w:r>
        <w:rPr>
          <w:rStyle w:val="AttributeTok"/>
        </w:rPr>
        <w:t xml:space="preserve">n =</w:t>
      </w:r>
      <w:r>
        <w:rPr>
          <w:rStyle w:val="NormalTok"/>
        </w:rPr>
        <w:t xml:space="preserve"> </w:t>
      </w:r>
      <w:r>
        <w:rPr>
          <w:rStyle w:val="DecValTok"/>
        </w:rPr>
        <w:t xml:space="preserve">24</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br/>
      </w:r>
      <w:r>
        <w:rPr>
          <w:rStyle w:val="NormalTok"/>
        </w:rPr>
        <w:t xml:space="preserve">pyramid_data_top24 </w:t>
      </w:r>
      <w:r>
        <w:rPr>
          <w:rStyle w:val="OtherTok"/>
        </w:rPr>
        <w:t xml:space="preserve">&lt;-</w:t>
      </w:r>
      <w:r>
        <w:rPr>
          <w:rStyle w:val="NormalTok"/>
        </w:rPr>
        <w:t xml:space="preserve"> sg_res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top_24_pas) </w:t>
      </w:r>
      <w:r>
        <w:rPr>
          <w:rStyle w:val="SpecialCharTok"/>
        </w:rPr>
        <w:t xml:space="preserve">%&gt;%</w:t>
      </w:r>
      <w:r>
        <w:br/>
      </w:r>
      <w:r>
        <w:rPr>
          <w:rStyle w:val="NormalTok"/>
        </w:rPr>
        <w:t xml:space="preserve">  </w:t>
      </w:r>
      <w:r>
        <w:rPr>
          <w:rStyle w:val="FunctionTok"/>
        </w:rPr>
        <w:t xml:space="preserve">group_by</w:t>
      </w:r>
      <w:r>
        <w:rPr>
          <w:rStyle w:val="NormalTok"/>
        </w:rPr>
        <w:t xml:space="preserve">(PA, Age,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DecValTok"/>
        </w:rPr>
        <w:t xml:space="preserve">90</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rPr>
          <w:rStyle w:val="NormalTok"/>
        </w:rPr>
        <w:t xml:space="preserve">  )</w:t>
      </w:r>
    </w:p>
    <w:p>
      <w:pPr>
        <w:pStyle w:val="SourceCode"/>
      </w:pPr>
      <w:r>
        <w:rPr>
          <w:rStyle w:val="VerbatimChar"/>
        </w:rPr>
        <w:t xml:space="preserve">Warning: There was 1 warning in `mutate()`.</w:t>
      </w:r>
      <w:r>
        <w:br/>
      </w:r>
      <w:r>
        <w:rPr>
          <w:rStyle w:val="VerbatimChar"/>
        </w:rPr>
        <w:t xml:space="preserve">ℹ In argument: `Age = ifelse(Age == "90_and_Over", 90, as.numeric(Age))`.</w:t>
      </w:r>
      <w:r>
        <w:br/>
      </w:r>
      <w:r>
        <w:rPr>
          <w:rStyle w:val="VerbatimChar"/>
        </w:rPr>
        <w:t xml:space="preserve">Caused by warning in `ifelse()`:</w:t>
      </w:r>
      <w:r>
        <w:br/>
      </w:r>
      <w:r>
        <w:rPr>
          <w:rStyle w:val="VerbatimChar"/>
        </w:rPr>
        <w:t xml:space="preserve">! NAs introduced by coercion</w:t>
      </w:r>
    </w:p>
    <w:p>
      <w:pPr>
        <w:pStyle w:val="SourceCode"/>
      </w:pPr>
      <w:r>
        <w:rPr>
          <w:rStyle w:val="CommentTok"/>
        </w:rPr>
        <w:t xml:space="preserve"># Get max pop for consistent y-axis</w:t>
      </w:r>
      <w:r>
        <w:br/>
      </w:r>
      <w:r>
        <w:rPr>
          <w:rStyle w:val="NormalTok"/>
        </w:rPr>
        <w:t xml:space="preserve">max_pop </w:t>
      </w:r>
      <w:r>
        <w:rPr>
          <w:rStyle w:val="OtherTok"/>
        </w:rPr>
        <w:t xml:space="preserve">&lt;-</w:t>
      </w:r>
      <w:r>
        <w:rPr>
          <w:rStyle w:val="NormalTok"/>
        </w:rPr>
        <w:t xml:space="preserve"> pyramid_data_top24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pull</w:t>
      </w:r>
      <w:r>
        <w:rPr>
          <w:rStyle w:val="NormalTok"/>
        </w:rPr>
        <w:t xml:space="preserve">(total) </w:t>
      </w:r>
      <w:r>
        <w:rPr>
          <w:rStyle w:val="SpecialCharTok"/>
        </w:rPr>
        <w:t xml:space="preserve">%&gt;%</w:t>
      </w:r>
      <w:r>
        <w:br/>
      </w:r>
      <w:r>
        <w:rPr>
          <w:rStyle w:val="NormalTok"/>
        </w:rPr>
        <w:t xml:space="preserve">  </w:t>
      </w:r>
      <w:r>
        <w:rPr>
          <w:rStyle w:val="FunctionTok"/>
        </w:rPr>
        <w:t xml:space="preserve">max</w:t>
      </w:r>
      <w:r>
        <w:rPr>
          <w:rStyle w:val="NormalTok"/>
        </w:rPr>
        <w:t xml:space="preserve">()</w:t>
      </w:r>
      <w:r>
        <w:br/>
      </w:r>
      <w:r>
        <w:br/>
      </w:r>
      <w:r>
        <w:rPr>
          <w:rStyle w:val="CommentTok"/>
        </w:rPr>
        <w:t xml:space="preserve"># Makeover plot</w:t>
      </w:r>
      <w:r>
        <w:br/>
      </w:r>
      <w:r>
        <w:rPr>
          <w:rStyle w:val="NormalTok"/>
        </w:rPr>
        <w:t xml:space="preserve">pyramid_makeover </w:t>
      </w:r>
      <w:r>
        <w:rPr>
          <w:rStyle w:val="OtherTok"/>
        </w:rPr>
        <w:t xml:space="preserve">&lt;-</w:t>
      </w:r>
      <w:r>
        <w:rPr>
          <w:rStyle w:val="NormalTok"/>
        </w:rPr>
        <w:t xml:space="preserve"> </w:t>
      </w:r>
      <w:r>
        <w:rPr>
          <w:rStyle w:val="FunctionTok"/>
        </w:rPr>
        <w:t xml:space="preserve">ggplot</w:t>
      </w:r>
      <w:r>
        <w:rPr>
          <w:rStyle w:val="NormalTok"/>
        </w:rPr>
        <w:t xml:space="preserve">(pyramid_data_top24,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abs,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max_pop, max_pop)) </w:t>
      </w:r>
      <w:r>
        <w:rPr>
          <w:rStyle w:val="SpecialCharTok"/>
        </w:rPr>
        <w:t xml:space="preserve">+</w:t>
      </w:r>
      <w:r>
        <w:rPr>
          <w:rStyle w:val="NormalTok"/>
        </w:rPr>
        <w:t xml:space="preserve">  </w:t>
      </w:r>
      <w:r>
        <w:rPr>
          <w:rStyle w:val="CommentTok"/>
        </w:rPr>
        <w:t xml:space="preserve"># Fix y-axis scale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PA, </w:t>
      </w:r>
      <w:r>
        <w:rPr>
          <w:rStyle w:val="AttributeTok"/>
        </w:rPr>
        <w:t xml:space="preserve">scales =</w:t>
      </w:r>
      <w:r>
        <w:rPr>
          <w:rStyle w:val="NormalTok"/>
        </w:rPr>
        <w:t xml:space="preserve"> </w:t>
      </w:r>
      <w:r>
        <w:rPr>
          <w:rStyle w:val="StringTok"/>
        </w:rPr>
        <w:t xml:space="preserve">"fixed"</w:t>
      </w:r>
      <w:r>
        <w:rPr>
          <w:rStyle w:val="NormalTok"/>
        </w:rPr>
        <w:t xml:space="preserve">, </w:t>
      </w:r>
      <w:r>
        <w:rPr>
          <w:rStyle w:val="AttributeTok"/>
        </w:rPr>
        <w:t xml:space="preserve">ncol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Pyramids of Top 24 Planning Areas (Consistent Y-Axis)"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begin =</w:t>
      </w:r>
      <w:r>
        <w:rPr>
          <w:rStyle w:val="NormalTok"/>
        </w:rPr>
        <w:t xml:space="preserve"> </w:t>
      </w:r>
      <w:r>
        <w:rPr>
          <w:rStyle w:val="FloatTok"/>
        </w:rPr>
        <w:t xml:space="preserve">0.2</w:t>
      </w:r>
      <w:r>
        <w:rPr>
          <w:rStyle w:val="NormalTok"/>
        </w:rPr>
        <w:t xml:space="preserve">, </w:t>
      </w:r>
      <w:r>
        <w:rPr>
          <w:rStyle w:val="AttributeTok"/>
        </w:rPr>
        <w:t xml:space="preserve">end =</w:t>
      </w:r>
      <w:r>
        <w:rPr>
          <w:rStyle w:val="NormalTok"/>
        </w:rPr>
        <w:t xml:space="preserve"> </w:t>
      </w:r>
      <w:r>
        <w:rPr>
          <w:rStyle w:val="FloatTok"/>
        </w:rPr>
        <w:t xml:space="preserve">0.8</w:t>
      </w:r>
      <w:r>
        <w:rPr>
          <w:rStyle w:val="NormalTok"/>
        </w:rPr>
        <w:t xml:space="preserve">)</w:t>
      </w:r>
    </w:p>
    <w:p>
      <w:pPr>
        <w:pStyle w:val="SourceCode"/>
      </w:pPr>
      <w:r>
        <w:rPr>
          <w:rStyle w:val="FunctionTok"/>
        </w:rPr>
        <w:t xml:space="preserve">print</w:t>
      </w:r>
      <w:r>
        <w:rPr>
          <w:rStyle w:val="NormalTok"/>
        </w:rPr>
        <w:t xml:space="preserve">(pyramid_makeover)</w:t>
      </w:r>
    </w:p>
    <w:p>
      <w:pPr>
        <w:pStyle w:val="FirstParagraph"/>
      </w:pPr>
      <w:r>
        <w:drawing>
          <wp:inline>
            <wp:extent cx="4620126" cy="3696101"/>
            <wp:effectExtent b="0" l="0" r="0" t="0"/>
            <wp:docPr descr="" title="" id="57" name="Picture"/>
            <a:graphic>
              <a:graphicData uri="http://schemas.openxmlformats.org/drawingml/2006/picture">
                <pic:pic>
                  <pic:nvPicPr>
                    <pic:cNvPr descr="Take-home_Ex01A_files/figure-docx/unnamed-chunk-10-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6" Target="media/rId56.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52" Target="https://isss608-minhtetaung.netlify.app/take-home_ex/take-home_ex01/take-home_ex01" TargetMode="External" /><Relationship Type="http://schemas.openxmlformats.org/officeDocument/2006/relationships/hyperlink" Id="rId49" Target="https://www.singstat.gov.sg/find-data" TargetMode="External" /></Relationships>
</file>

<file path=word/_rels/footnotes.xml.rels><?xml version="1.0" encoding="UTF-8"?><Relationships xmlns="http://schemas.openxmlformats.org/package/2006/relationships"><Relationship Type="http://schemas.openxmlformats.org/officeDocument/2006/relationships/hyperlink" Id="rId52" Target="https://isss608-minhtetaung.netlify.app/take-home_ex/take-home_ex01/take-home_ex01" TargetMode="External" /><Relationship Type="http://schemas.openxmlformats.org/officeDocument/2006/relationships/hyperlink" Id="rId49" Target="https://www.singstat.gov.sg/find-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01</dc:title>
  <dc:creator>Cindy TA</dc:creator>
  <cp:keywords/>
  <dcterms:created xsi:type="dcterms:W3CDTF">2025-05-10T03:00:45Z</dcterms:created>
  <dcterms:modified xsi:type="dcterms:W3CDTF">2025-05-10T03:00:45Z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