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B8CF3" w14:textId="54B6985A" w:rsidR="005707D8" w:rsidRDefault="005707D8" w:rsidP="005707D8">
      <w:pPr>
        <w:pStyle w:val="NormalWeb"/>
        <w:spacing w:before="150" w:beforeAutospacing="0" w:after="0" w:afterAutospacing="0"/>
        <w:contextualSpacing/>
        <w:rPr>
          <w:rFonts w:asciiTheme="minorHAnsi" w:hAnsiTheme="minorHAnsi"/>
          <w:color w:val="2B2B2B"/>
          <w:sz w:val="22"/>
          <w:szCs w:val="22"/>
        </w:rPr>
      </w:pPr>
      <w:r w:rsidRPr="005707D8">
        <w:rPr>
          <w:rFonts w:asciiTheme="minorHAnsi" w:hAnsiTheme="minorHAnsi"/>
          <w:color w:val="2B2B2B"/>
          <w:sz w:val="22"/>
          <w:szCs w:val="22"/>
        </w:rPr>
        <w:t>To receive all points, the written report presents a cohesive written analysis that</w:t>
      </w:r>
      <w:r>
        <w:rPr>
          <w:rFonts w:asciiTheme="minorHAnsi" w:hAnsiTheme="minorHAnsi"/>
          <w:color w:val="2B2B2B"/>
          <w:sz w:val="22"/>
          <w:szCs w:val="22"/>
        </w:rPr>
        <w:t xml:space="preserve">: </w:t>
      </w:r>
      <w:r w:rsidRPr="005707D8">
        <w:rPr>
          <w:rFonts w:asciiTheme="minorHAnsi" w:hAnsiTheme="minorHAnsi"/>
          <w:b/>
          <w:bCs/>
          <w:color w:val="2B2B2B"/>
          <w:sz w:val="22"/>
          <w:szCs w:val="22"/>
        </w:rPr>
        <w:t>(1)</w:t>
      </w:r>
      <w:r>
        <w:rPr>
          <w:rFonts w:asciiTheme="minorHAnsi" w:hAnsiTheme="minorHAnsi"/>
          <w:color w:val="2B2B2B"/>
          <w:sz w:val="22"/>
          <w:szCs w:val="22"/>
        </w:rPr>
        <w:t xml:space="preserve"> </w:t>
      </w:r>
      <w:r w:rsidRPr="005707D8">
        <w:rPr>
          <w:rFonts w:asciiTheme="minorHAnsi" w:hAnsiTheme="minorHAnsi"/>
          <w:color w:val="2B2B2B"/>
          <w:sz w:val="22"/>
          <w:szCs w:val="22"/>
        </w:rPr>
        <w:t>Summarizes the analysis (5 points)</w:t>
      </w:r>
      <w:r>
        <w:rPr>
          <w:rFonts w:asciiTheme="minorHAnsi" w:hAnsiTheme="minorHAnsi"/>
          <w:color w:val="2B2B2B"/>
          <w:sz w:val="22"/>
          <w:szCs w:val="22"/>
        </w:rPr>
        <w:t xml:space="preserve">, </w:t>
      </w:r>
      <w:r w:rsidRPr="005707D8">
        <w:rPr>
          <w:rFonts w:asciiTheme="minorHAnsi" w:hAnsiTheme="minorHAnsi"/>
          <w:b/>
          <w:bCs/>
          <w:color w:val="2B2B2B"/>
          <w:sz w:val="22"/>
          <w:szCs w:val="22"/>
        </w:rPr>
        <w:t xml:space="preserve">(2) </w:t>
      </w:r>
      <w:r w:rsidRPr="005707D8">
        <w:rPr>
          <w:rFonts w:asciiTheme="minorHAnsi" w:hAnsiTheme="minorHAnsi"/>
          <w:color w:val="2B2B2B"/>
          <w:sz w:val="22"/>
          <w:szCs w:val="22"/>
        </w:rPr>
        <w:t>Draws two correct conclusions or comparisons from the calculations (10 points)</w:t>
      </w:r>
    </w:p>
    <w:p w14:paraId="4FFD6D46" w14:textId="77777777" w:rsidR="005707D8" w:rsidRDefault="005707D8" w:rsidP="005707D8">
      <w:pPr>
        <w:pStyle w:val="NormalWeb"/>
        <w:spacing w:before="150" w:beforeAutospacing="0" w:after="0" w:afterAutospacing="0" w:line="360" w:lineRule="atLeast"/>
        <w:contextualSpacing/>
        <w:rPr>
          <w:rFonts w:asciiTheme="minorHAnsi" w:hAnsiTheme="minorHAnsi"/>
          <w:color w:val="2B2B2B"/>
          <w:sz w:val="22"/>
          <w:szCs w:val="22"/>
        </w:rPr>
      </w:pPr>
    </w:p>
    <w:p w14:paraId="187FA78A" w14:textId="77777777" w:rsidR="005707D8" w:rsidRPr="005707D8" w:rsidRDefault="005707D8" w:rsidP="005707D8">
      <w:pPr>
        <w:contextualSpacing/>
        <w:jc w:val="center"/>
        <w:rPr>
          <w:b/>
          <w:bCs/>
        </w:rPr>
      </w:pPr>
      <w:r w:rsidRPr="005707D8">
        <w:rPr>
          <w:b/>
          <w:bCs/>
        </w:rPr>
        <w:t>Module 4 Challenge: Written Report (by Cindy Longoria)</w:t>
      </w:r>
    </w:p>
    <w:p w14:paraId="35E1F70F" w14:textId="708C13A6" w:rsidR="005707D8" w:rsidRDefault="005707D8" w:rsidP="005707D8">
      <w:pPr>
        <w:pStyle w:val="NormalWeb"/>
        <w:spacing w:before="150" w:beforeAutospacing="0" w:after="0" w:afterAutospacing="0" w:line="360" w:lineRule="atLeast"/>
        <w:contextualSpacing/>
        <w:rPr>
          <w:rFonts w:asciiTheme="minorHAnsi" w:hAnsiTheme="minorHAnsi"/>
          <w:color w:val="2B2B2B"/>
          <w:sz w:val="22"/>
          <w:szCs w:val="22"/>
        </w:rPr>
      </w:pPr>
      <w:r>
        <w:rPr>
          <w:rFonts w:asciiTheme="minorHAnsi" w:hAnsiTheme="minorHAnsi"/>
          <w:color w:val="2B2B2B"/>
          <w:sz w:val="22"/>
          <w:szCs w:val="22"/>
        </w:rPr>
        <w:t xml:space="preserve">The district includes 15 </w:t>
      </w:r>
      <w:r w:rsidR="00AE6C4C">
        <w:rPr>
          <w:rFonts w:asciiTheme="minorHAnsi" w:hAnsiTheme="minorHAnsi"/>
          <w:color w:val="2B2B2B"/>
          <w:sz w:val="22"/>
          <w:szCs w:val="22"/>
        </w:rPr>
        <w:t>charter and district schools</w:t>
      </w:r>
      <w:r>
        <w:rPr>
          <w:rFonts w:asciiTheme="minorHAnsi" w:hAnsiTheme="minorHAnsi"/>
          <w:color w:val="2B2B2B"/>
          <w:sz w:val="22"/>
          <w:szCs w:val="22"/>
        </w:rPr>
        <w:t xml:space="preserve">. </w:t>
      </w:r>
      <w:r w:rsidR="00AE6C4C">
        <w:rPr>
          <w:rFonts w:asciiTheme="minorHAnsi" w:hAnsiTheme="minorHAnsi"/>
          <w:color w:val="2B2B2B"/>
          <w:sz w:val="22"/>
          <w:szCs w:val="22"/>
        </w:rPr>
        <w:t>The district’s student count is roughly 39,000 and operates on an approximate budget of $24.5 million. The student body currently performs higher in reading than in math with an average reading score of 81.9 and a passing rate of 85.8%. This opposed to an average math score of 79.0 and a passing rate of 75.0%</w:t>
      </w:r>
      <w:r w:rsidR="00D47B3C">
        <w:rPr>
          <w:rFonts w:asciiTheme="minorHAnsi" w:hAnsiTheme="minorHAnsi"/>
          <w:color w:val="2B2B2B"/>
          <w:sz w:val="22"/>
          <w:szCs w:val="22"/>
        </w:rPr>
        <w:t>. Additionally, the overall passing rate in both subjects is 65%.</w:t>
      </w:r>
    </w:p>
    <w:p w14:paraId="4B9CE25E" w14:textId="77777777" w:rsidR="00D47B3C" w:rsidRDefault="00D47B3C" w:rsidP="005707D8">
      <w:pPr>
        <w:pStyle w:val="NormalWeb"/>
        <w:spacing w:before="150" w:beforeAutospacing="0" w:after="0" w:afterAutospacing="0" w:line="360" w:lineRule="atLeast"/>
        <w:contextualSpacing/>
        <w:rPr>
          <w:rFonts w:asciiTheme="minorHAnsi" w:hAnsiTheme="minorHAnsi"/>
          <w:color w:val="2B2B2B"/>
          <w:sz w:val="22"/>
          <w:szCs w:val="22"/>
        </w:rPr>
      </w:pPr>
    </w:p>
    <w:p w14:paraId="41496E6C" w14:textId="48DAB06E" w:rsidR="00D47B3C" w:rsidRDefault="00626B90" w:rsidP="005707D8">
      <w:pPr>
        <w:pStyle w:val="NormalWeb"/>
        <w:spacing w:before="150" w:beforeAutospacing="0" w:after="0" w:afterAutospacing="0" w:line="360" w:lineRule="atLeast"/>
        <w:contextualSpacing/>
        <w:rPr>
          <w:rFonts w:asciiTheme="minorHAnsi" w:hAnsiTheme="minorHAnsi"/>
          <w:color w:val="2B2B2B"/>
          <w:sz w:val="22"/>
          <w:szCs w:val="22"/>
        </w:rPr>
      </w:pPr>
      <w:r>
        <w:rPr>
          <w:rFonts w:asciiTheme="minorHAnsi" w:hAnsiTheme="minorHAnsi"/>
          <w:color w:val="2B2B2B"/>
          <w:sz w:val="22"/>
          <w:szCs w:val="22"/>
        </w:rPr>
        <w:t>The student population per school ranges from 500 to 5,000 students. While there are almost an even number of district and charter schools, the former accounting for 7 schools and the latter accounting for 8, the student population is more heavily concentrated in district schools. District schools account for 69% of the student population, while charter schools account for 31%.</w:t>
      </w:r>
    </w:p>
    <w:p w14:paraId="17F2E4F2" w14:textId="77777777" w:rsidR="00E53197" w:rsidRDefault="00E53197" w:rsidP="005707D8">
      <w:pPr>
        <w:pStyle w:val="NormalWeb"/>
        <w:spacing w:before="150" w:beforeAutospacing="0" w:after="0" w:afterAutospacing="0" w:line="360" w:lineRule="atLeast"/>
        <w:contextualSpacing/>
        <w:rPr>
          <w:rFonts w:asciiTheme="minorHAnsi" w:hAnsiTheme="minorHAnsi"/>
          <w:color w:val="2B2B2B"/>
          <w:sz w:val="22"/>
          <w:szCs w:val="22"/>
        </w:rPr>
      </w:pPr>
    </w:p>
    <w:p w14:paraId="7EF431D7" w14:textId="15E6CD4F" w:rsidR="00E53197" w:rsidRDefault="00E53197" w:rsidP="005707D8">
      <w:pPr>
        <w:pStyle w:val="NormalWeb"/>
        <w:spacing w:before="150" w:beforeAutospacing="0" w:after="0" w:afterAutospacing="0" w:line="360" w:lineRule="atLeast"/>
        <w:contextualSpacing/>
        <w:rPr>
          <w:rFonts w:asciiTheme="minorHAnsi" w:hAnsiTheme="minorHAnsi"/>
          <w:color w:val="2B2B2B"/>
          <w:sz w:val="22"/>
          <w:szCs w:val="22"/>
        </w:rPr>
      </w:pPr>
      <w:r>
        <w:rPr>
          <w:rFonts w:asciiTheme="minorHAnsi" w:hAnsiTheme="minorHAnsi"/>
          <w:color w:val="2B2B2B"/>
          <w:sz w:val="22"/>
          <w:szCs w:val="22"/>
        </w:rPr>
        <w:t xml:space="preserve">The large difference in passing rates for math between district and charter schools is another notable trend. The lower passing math rates at district schools have a large impact on the overall passing rates. </w:t>
      </w:r>
    </w:p>
    <w:p w14:paraId="7B2C5995" w14:textId="77777777" w:rsidR="00572C40" w:rsidRDefault="00572C40" w:rsidP="005707D8">
      <w:pPr>
        <w:pStyle w:val="NormalWeb"/>
        <w:spacing w:before="150" w:beforeAutospacing="0" w:after="0" w:afterAutospacing="0" w:line="360" w:lineRule="atLeast"/>
        <w:contextualSpacing/>
        <w:rPr>
          <w:rFonts w:asciiTheme="minorHAnsi" w:hAnsiTheme="minorHAnsi"/>
          <w:color w:val="2B2B2B"/>
          <w:sz w:val="22"/>
          <w:szCs w:val="22"/>
        </w:rPr>
      </w:pPr>
    </w:p>
    <w:p w14:paraId="100D9248" w14:textId="0FCE7028" w:rsidR="00572C40" w:rsidRDefault="00572C40" w:rsidP="005707D8">
      <w:pPr>
        <w:pStyle w:val="NormalWeb"/>
        <w:spacing w:before="150" w:beforeAutospacing="0" w:after="0" w:afterAutospacing="0" w:line="360" w:lineRule="atLeast"/>
        <w:contextualSpacing/>
        <w:rPr>
          <w:rFonts w:asciiTheme="minorHAnsi" w:hAnsiTheme="minorHAnsi"/>
          <w:color w:val="2B2B2B"/>
          <w:sz w:val="22"/>
          <w:szCs w:val="22"/>
        </w:rPr>
      </w:pPr>
      <w:r>
        <w:rPr>
          <w:rFonts w:asciiTheme="minorHAnsi" w:hAnsiTheme="minorHAnsi"/>
          <w:color w:val="2B2B2B"/>
          <w:sz w:val="22"/>
          <w:szCs w:val="22"/>
        </w:rPr>
        <w:t>The average math and reading scores are lower for the district schools</w:t>
      </w:r>
      <w:r w:rsidR="0090123D">
        <w:rPr>
          <w:rFonts w:asciiTheme="minorHAnsi" w:hAnsiTheme="minorHAnsi"/>
          <w:color w:val="2B2B2B"/>
          <w:sz w:val="22"/>
          <w:szCs w:val="22"/>
        </w:rPr>
        <w:t>, with</w:t>
      </w:r>
      <w:r>
        <w:rPr>
          <w:rFonts w:asciiTheme="minorHAnsi" w:hAnsiTheme="minorHAnsi"/>
          <w:color w:val="2B2B2B"/>
          <w:sz w:val="22"/>
          <w:szCs w:val="22"/>
        </w:rPr>
        <w:t xml:space="preserve"> </w:t>
      </w:r>
      <w:r w:rsidR="0090123D">
        <w:rPr>
          <w:rFonts w:asciiTheme="minorHAnsi" w:hAnsiTheme="minorHAnsi"/>
          <w:color w:val="2B2B2B"/>
          <w:sz w:val="22"/>
          <w:szCs w:val="22"/>
        </w:rPr>
        <w:t xml:space="preserve">larger per capita budgets and larger student populations. </w:t>
      </w:r>
      <w:r>
        <w:rPr>
          <w:rFonts w:asciiTheme="minorHAnsi" w:hAnsiTheme="minorHAnsi"/>
          <w:color w:val="2B2B2B"/>
          <w:sz w:val="22"/>
          <w:szCs w:val="22"/>
        </w:rPr>
        <w:t>This versus higher scores at charter schools, lower per capita budgets on average</w:t>
      </w:r>
      <w:r w:rsidR="0090123D">
        <w:rPr>
          <w:rFonts w:asciiTheme="minorHAnsi" w:hAnsiTheme="minorHAnsi"/>
          <w:color w:val="2B2B2B"/>
          <w:sz w:val="22"/>
          <w:szCs w:val="22"/>
        </w:rPr>
        <w:t>, and small to medium student populations. This would indicate that per capita budget does not impact student test scores and presumably quality of learning, but that students in smaller school populations test better than those at larger school populations.</w:t>
      </w:r>
      <w:r w:rsidR="0003523B">
        <w:rPr>
          <w:rFonts w:asciiTheme="minorHAnsi" w:hAnsiTheme="minorHAnsi"/>
          <w:color w:val="2B2B2B"/>
          <w:sz w:val="22"/>
          <w:szCs w:val="22"/>
        </w:rPr>
        <w:t xml:space="preserve"> The overall passing rate further supports this conclusion as these rates are higher for charter schools.</w:t>
      </w:r>
    </w:p>
    <w:p w14:paraId="14E405D1" w14:textId="77777777" w:rsidR="00FB16BA" w:rsidRDefault="00FB16BA" w:rsidP="005707D8">
      <w:pPr>
        <w:pStyle w:val="NormalWeb"/>
        <w:spacing w:before="150" w:beforeAutospacing="0" w:after="0" w:afterAutospacing="0" w:line="360" w:lineRule="atLeast"/>
        <w:contextualSpacing/>
        <w:rPr>
          <w:rFonts w:asciiTheme="minorHAnsi" w:hAnsiTheme="minorHAnsi"/>
          <w:color w:val="2B2B2B"/>
          <w:sz w:val="22"/>
          <w:szCs w:val="22"/>
        </w:rPr>
      </w:pPr>
    </w:p>
    <w:p w14:paraId="7D7F945A" w14:textId="0C2B2C5B" w:rsidR="00FB16BA" w:rsidRDefault="00FB16BA" w:rsidP="005707D8">
      <w:pPr>
        <w:pStyle w:val="NormalWeb"/>
        <w:spacing w:before="150" w:beforeAutospacing="0" w:after="0" w:afterAutospacing="0" w:line="360" w:lineRule="atLeast"/>
        <w:contextualSpacing/>
        <w:rPr>
          <w:rFonts w:asciiTheme="minorHAnsi" w:hAnsiTheme="minorHAnsi"/>
          <w:color w:val="2B2B2B"/>
          <w:sz w:val="22"/>
          <w:szCs w:val="22"/>
        </w:rPr>
      </w:pPr>
      <w:r>
        <w:rPr>
          <w:rFonts w:asciiTheme="minorHAnsi" w:hAnsiTheme="minorHAnsi"/>
          <w:color w:val="2B2B2B"/>
          <w:sz w:val="22"/>
          <w:szCs w:val="22"/>
        </w:rPr>
        <w:t>Analysis of the math scores per school show that Huang HS has the lowest average math score of 76.63, while Pena HS has the highest average math score of 83.84. Correlation to school budget spending per student cannot be found in this case as Huang HS has the highest per capita budget, and Pena HS’s per capita budget is in the bottom 50</w:t>
      </w:r>
      <w:r w:rsidRPr="00FB16BA">
        <w:rPr>
          <w:rFonts w:asciiTheme="minorHAnsi" w:hAnsiTheme="minorHAnsi"/>
          <w:color w:val="2B2B2B"/>
          <w:sz w:val="22"/>
          <w:szCs w:val="22"/>
          <w:vertAlign w:val="superscript"/>
        </w:rPr>
        <w:t>th</w:t>
      </w:r>
      <w:r>
        <w:rPr>
          <w:rFonts w:asciiTheme="minorHAnsi" w:hAnsiTheme="minorHAnsi"/>
          <w:color w:val="2B2B2B"/>
          <w:sz w:val="22"/>
          <w:szCs w:val="22"/>
        </w:rPr>
        <w:t xml:space="preserve"> percentile.</w:t>
      </w:r>
      <w:r w:rsidR="005A23A4">
        <w:rPr>
          <w:rFonts w:asciiTheme="minorHAnsi" w:hAnsiTheme="minorHAnsi"/>
          <w:color w:val="2B2B2B"/>
          <w:sz w:val="22"/>
          <w:szCs w:val="22"/>
        </w:rPr>
        <w:t xml:space="preserve"> However, correlation can be found here between the average scores and the passing rates in match. Huang HS has the lowest average math score and also has the lowest passing rate of 65.7, while Pena has the highest math score and the highest passing rate of 94.6.</w:t>
      </w:r>
    </w:p>
    <w:p w14:paraId="2F3B77C9" w14:textId="77777777" w:rsidR="00FB16BA" w:rsidRDefault="00FB16BA" w:rsidP="005707D8">
      <w:pPr>
        <w:pStyle w:val="NormalWeb"/>
        <w:spacing w:before="150" w:beforeAutospacing="0" w:after="0" w:afterAutospacing="0" w:line="360" w:lineRule="atLeast"/>
        <w:contextualSpacing/>
        <w:rPr>
          <w:rFonts w:asciiTheme="minorHAnsi" w:hAnsiTheme="minorHAnsi"/>
          <w:color w:val="2B2B2B"/>
          <w:sz w:val="22"/>
          <w:szCs w:val="22"/>
        </w:rPr>
      </w:pPr>
    </w:p>
    <w:p w14:paraId="1F34A89A" w14:textId="3327EDC8" w:rsidR="00C50069" w:rsidRDefault="00FB16BA" w:rsidP="005707D8">
      <w:pPr>
        <w:pStyle w:val="NormalWeb"/>
        <w:spacing w:before="150" w:beforeAutospacing="0" w:after="0" w:afterAutospacing="0" w:line="360" w:lineRule="atLeast"/>
        <w:contextualSpacing/>
        <w:rPr>
          <w:rFonts w:asciiTheme="minorHAnsi" w:hAnsiTheme="minorHAnsi"/>
          <w:color w:val="2B2B2B"/>
          <w:sz w:val="22"/>
          <w:szCs w:val="22"/>
        </w:rPr>
      </w:pPr>
      <w:r>
        <w:rPr>
          <w:rFonts w:asciiTheme="minorHAnsi" w:hAnsiTheme="minorHAnsi"/>
          <w:color w:val="2B2B2B"/>
          <w:sz w:val="22"/>
          <w:szCs w:val="22"/>
        </w:rPr>
        <w:lastRenderedPageBreak/>
        <w:t xml:space="preserve">Analysis of reading scores per school </w:t>
      </w:r>
      <w:r w:rsidR="00C50069">
        <w:rPr>
          <w:rFonts w:asciiTheme="minorHAnsi" w:hAnsiTheme="minorHAnsi"/>
          <w:color w:val="2B2B2B"/>
          <w:sz w:val="22"/>
          <w:szCs w:val="22"/>
        </w:rPr>
        <w:t xml:space="preserve">show that </w:t>
      </w:r>
      <w:r w:rsidR="00250A61">
        <w:rPr>
          <w:rFonts w:asciiTheme="minorHAnsi" w:hAnsiTheme="minorHAnsi"/>
          <w:color w:val="2B2B2B"/>
          <w:sz w:val="22"/>
          <w:szCs w:val="22"/>
        </w:rPr>
        <w:t>Rodriguez HS has the lowest average reading score of 80.74, while Pena HS has the highest average reading score of 84.04. Correlation to school budget spending per student cannot be found in this case as both schools have around the 50</w:t>
      </w:r>
      <w:r w:rsidR="00250A61" w:rsidRPr="00250A61">
        <w:rPr>
          <w:rFonts w:asciiTheme="minorHAnsi" w:hAnsiTheme="minorHAnsi"/>
          <w:color w:val="2B2B2B"/>
          <w:sz w:val="22"/>
          <w:szCs w:val="22"/>
          <w:vertAlign w:val="superscript"/>
        </w:rPr>
        <w:t>th</w:t>
      </w:r>
      <w:r w:rsidR="00250A61">
        <w:rPr>
          <w:rFonts w:asciiTheme="minorHAnsi" w:hAnsiTheme="minorHAnsi"/>
          <w:color w:val="2B2B2B"/>
          <w:sz w:val="22"/>
          <w:szCs w:val="22"/>
        </w:rPr>
        <w:t xml:space="preserve"> percentile in budget per student spending. Rodriguez HS not only has the lowest average reading score, but also has the second to lowest passing rate of 80.2. Pena ranks around the 50</w:t>
      </w:r>
      <w:r w:rsidR="00250A61" w:rsidRPr="00250A61">
        <w:rPr>
          <w:rFonts w:asciiTheme="minorHAnsi" w:hAnsiTheme="minorHAnsi"/>
          <w:color w:val="2B2B2B"/>
          <w:sz w:val="22"/>
          <w:szCs w:val="22"/>
          <w:vertAlign w:val="superscript"/>
        </w:rPr>
        <w:t>th</w:t>
      </w:r>
      <w:r w:rsidR="00250A61">
        <w:rPr>
          <w:rFonts w:asciiTheme="minorHAnsi" w:hAnsiTheme="minorHAnsi"/>
          <w:color w:val="2B2B2B"/>
          <w:sz w:val="22"/>
          <w:szCs w:val="22"/>
        </w:rPr>
        <w:t xml:space="preserve"> percentile in passing rate</w:t>
      </w:r>
      <w:r w:rsidR="005A23A4">
        <w:rPr>
          <w:rFonts w:asciiTheme="minorHAnsi" w:hAnsiTheme="minorHAnsi"/>
          <w:color w:val="2B2B2B"/>
          <w:sz w:val="22"/>
          <w:szCs w:val="22"/>
        </w:rPr>
        <w:t>,</w:t>
      </w:r>
      <w:r w:rsidR="00250A61">
        <w:rPr>
          <w:rFonts w:asciiTheme="minorHAnsi" w:hAnsiTheme="minorHAnsi"/>
          <w:color w:val="2B2B2B"/>
          <w:sz w:val="22"/>
          <w:szCs w:val="22"/>
        </w:rPr>
        <w:t xml:space="preserve"> while Thomas HS has the highest passing rate of 97.3. Thomas’ average reading score ranked in the top 50</w:t>
      </w:r>
      <w:r w:rsidR="00250A61" w:rsidRPr="00250A61">
        <w:rPr>
          <w:rFonts w:asciiTheme="minorHAnsi" w:hAnsiTheme="minorHAnsi"/>
          <w:color w:val="2B2B2B"/>
          <w:sz w:val="22"/>
          <w:szCs w:val="22"/>
          <w:vertAlign w:val="superscript"/>
        </w:rPr>
        <w:t>th</w:t>
      </w:r>
      <w:r w:rsidR="00250A61">
        <w:rPr>
          <w:rFonts w:asciiTheme="minorHAnsi" w:hAnsiTheme="minorHAnsi"/>
          <w:color w:val="2B2B2B"/>
          <w:sz w:val="22"/>
          <w:szCs w:val="22"/>
        </w:rPr>
        <w:t xml:space="preserve"> percentile. </w:t>
      </w:r>
      <w:r w:rsidR="00E669FB">
        <w:rPr>
          <w:rFonts w:asciiTheme="minorHAnsi" w:hAnsiTheme="minorHAnsi"/>
          <w:color w:val="2B2B2B"/>
          <w:sz w:val="22"/>
          <w:szCs w:val="22"/>
        </w:rPr>
        <w:t>Thomas’ high reading pass rate helped boost its overall pass rate to 90.9 making the school rank second in overall pass rate.</w:t>
      </w:r>
    </w:p>
    <w:p w14:paraId="512E361E" w14:textId="77777777" w:rsidR="00C019F0" w:rsidRDefault="00C019F0" w:rsidP="005707D8">
      <w:pPr>
        <w:pStyle w:val="NormalWeb"/>
        <w:spacing w:before="150" w:beforeAutospacing="0" w:after="0" w:afterAutospacing="0" w:line="360" w:lineRule="atLeast"/>
        <w:contextualSpacing/>
        <w:rPr>
          <w:rFonts w:asciiTheme="minorHAnsi" w:hAnsiTheme="minorHAnsi"/>
          <w:color w:val="2B2B2B"/>
          <w:sz w:val="22"/>
          <w:szCs w:val="22"/>
        </w:rPr>
      </w:pPr>
    </w:p>
    <w:p w14:paraId="36C0961C" w14:textId="300C1458" w:rsidR="007603C1" w:rsidRPr="00626B90" w:rsidRDefault="007603C1" w:rsidP="007603C1">
      <w:pPr>
        <w:pStyle w:val="NormalWeb"/>
        <w:spacing w:before="150" w:beforeAutospacing="0" w:after="0" w:afterAutospacing="0" w:line="360" w:lineRule="atLeast"/>
        <w:contextualSpacing/>
        <w:rPr>
          <w:rFonts w:asciiTheme="minorHAnsi" w:hAnsiTheme="minorHAnsi"/>
          <w:color w:val="2B2B2B"/>
          <w:sz w:val="22"/>
          <w:szCs w:val="22"/>
        </w:rPr>
      </w:pPr>
      <w:r>
        <w:rPr>
          <w:rFonts w:asciiTheme="minorHAnsi" w:hAnsiTheme="minorHAnsi"/>
          <w:color w:val="2B2B2B"/>
          <w:sz w:val="22"/>
          <w:szCs w:val="22"/>
        </w:rPr>
        <w:t xml:space="preserve">Based on overall % passing rate, Cabrera HS ranks highest, </w:t>
      </w:r>
      <w:r w:rsidR="000F6FE2">
        <w:rPr>
          <w:rFonts w:asciiTheme="minorHAnsi" w:hAnsiTheme="minorHAnsi"/>
          <w:color w:val="2B2B2B"/>
          <w:sz w:val="22"/>
          <w:szCs w:val="22"/>
        </w:rPr>
        <w:t>and</w:t>
      </w:r>
      <w:r>
        <w:rPr>
          <w:rFonts w:asciiTheme="minorHAnsi" w:hAnsiTheme="minorHAnsi"/>
          <w:color w:val="2B2B2B"/>
          <w:sz w:val="22"/>
          <w:szCs w:val="22"/>
        </w:rPr>
        <w:t xml:space="preserve"> has one of the lowest budget per capita rates.</w:t>
      </w:r>
    </w:p>
    <w:p w14:paraId="4631DB07" w14:textId="77777777" w:rsidR="00C019F0" w:rsidRPr="00C019F0" w:rsidRDefault="00C019F0" w:rsidP="005707D8">
      <w:pPr>
        <w:pStyle w:val="NormalWeb"/>
        <w:spacing w:before="150" w:beforeAutospacing="0" w:after="0" w:afterAutospacing="0" w:line="360" w:lineRule="atLeast"/>
        <w:contextualSpacing/>
        <w:rPr>
          <w:rFonts w:asciiTheme="minorHAnsi" w:hAnsiTheme="minorHAnsi"/>
          <w:color w:val="2B2B2B"/>
          <w:sz w:val="22"/>
          <w:szCs w:val="22"/>
        </w:rPr>
      </w:pPr>
    </w:p>
    <w:p w14:paraId="0B8D82B3" w14:textId="6B40F4A5" w:rsidR="007603C1" w:rsidRDefault="007603C1" w:rsidP="005707D8">
      <w:pPr>
        <w:pStyle w:val="NormalWeb"/>
        <w:spacing w:before="150" w:beforeAutospacing="0" w:after="0" w:afterAutospacing="0" w:line="360" w:lineRule="atLeast"/>
        <w:contextualSpacing/>
        <w:rPr>
          <w:rFonts w:asciiTheme="minorHAnsi" w:hAnsiTheme="minorHAnsi"/>
          <w:color w:val="2B2B2B"/>
          <w:sz w:val="22"/>
          <w:szCs w:val="22"/>
        </w:rPr>
      </w:pPr>
      <w:r>
        <w:rPr>
          <w:rFonts w:asciiTheme="minorHAnsi" w:hAnsiTheme="minorHAnsi"/>
          <w:color w:val="2B2B2B"/>
          <w:sz w:val="22"/>
          <w:szCs w:val="22"/>
        </w:rPr>
        <w:t>The lower performing schools based on overall % pass rate, appear to have a much lower math pass rate compared to the other schools. The lower performing schools have reading pass rates that do not differ as much as the math pass rates compared to the higher performing schools.</w:t>
      </w:r>
    </w:p>
    <w:p w14:paraId="608E99DC" w14:textId="77777777" w:rsidR="007603C1" w:rsidRDefault="007603C1" w:rsidP="005707D8">
      <w:pPr>
        <w:pStyle w:val="NormalWeb"/>
        <w:spacing w:before="150" w:beforeAutospacing="0" w:after="0" w:afterAutospacing="0" w:line="360" w:lineRule="atLeast"/>
        <w:contextualSpacing/>
        <w:rPr>
          <w:rFonts w:asciiTheme="minorHAnsi" w:hAnsiTheme="minorHAnsi"/>
          <w:color w:val="2B2B2B"/>
          <w:sz w:val="22"/>
          <w:szCs w:val="22"/>
        </w:rPr>
      </w:pPr>
    </w:p>
    <w:p w14:paraId="11238249" w14:textId="5A7546B0" w:rsidR="005707D8" w:rsidRDefault="007603C1" w:rsidP="005707D8">
      <w:pPr>
        <w:pStyle w:val="NormalWeb"/>
        <w:spacing w:before="150" w:beforeAutospacing="0" w:after="0" w:afterAutospacing="0" w:line="360" w:lineRule="atLeast"/>
        <w:contextualSpacing/>
        <w:rPr>
          <w:rFonts w:asciiTheme="minorHAnsi" w:hAnsiTheme="minorHAnsi"/>
          <w:color w:val="2B2B2B"/>
          <w:sz w:val="22"/>
          <w:szCs w:val="22"/>
        </w:rPr>
      </w:pPr>
      <w:r>
        <w:rPr>
          <w:rFonts w:asciiTheme="minorHAnsi" w:hAnsiTheme="minorHAnsi"/>
          <w:color w:val="2B2B2B"/>
          <w:sz w:val="22"/>
          <w:szCs w:val="22"/>
        </w:rPr>
        <w:t>Math and reading scores by grade remain consistent across all grades per school. The fluctuation varies typically within 1 percentage point.</w:t>
      </w:r>
    </w:p>
    <w:p w14:paraId="7C088181" w14:textId="77777777" w:rsidR="007603C1" w:rsidRDefault="007603C1" w:rsidP="005707D8">
      <w:pPr>
        <w:pStyle w:val="NormalWeb"/>
        <w:spacing w:before="150" w:beforeAutospacing="0" w:after="0" w:afterAutospacing="0" w:line="360" w:lineRule="atLeast"/>
        <w:contextualSpacing/>
        <w:rPr>
          <w:rFonts w:asciiTheme="minorHAnsi" w:hAnsiTheme="minorHAnsi"/>
          <w:color w:val="2B2B2B"/>
          <w:sz w:val="22"/>
          <w:szCs w:val="22"/>
        </w:rPr>
      </w:pPr>
    </w:p>
    <w:p w14:paraId="0164FA71" w14:textId="77777777" w:rsidR="005707D8" w:rsidRPr="005707D8" w:rsidRDefault="005707D8" w:rsidP="005707D8">
      <w:pPr>
        <w:pStyle w:val="NormalWeb"/>
        <w:spacing w:before="150" w:beforeAutospacing="0" w:after="0" w:afterAutospacing="0" w:line="360" w:lineRule="atLeast"/>
        <w:contextualSpacing/>
        <w:rPr>
          <w:rFonts w:asciiTheme="minorHAnsi" w:hAnsiTheme="minorHAnsi"/>
          <w:color w:val="2B2B2B"/>
          <w:sz w:val="22"/>
          <w:szCs w:val="22"/>
        </w:rPr>
      </w:pPr>
    </w:p>
    <w:p w14:paraId="35454CE0" w14:textId="77777777" w:rsidR="005707D8" w:rsidRPr="005707D8" w:rsidRDefault="005707D8" w:rsidP="000A075A">
      <w:pPr>
        <w:contextualSpacing/>
      </w:pPr>
    </w:p>
    <w:sectPr w:rsidR="005707D8" w:rsidRPr="0057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D19D2"/>
    <w:multiLevelType w:val="multilevel"/>
    <w:tmpl w:val="94B2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46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5A"/>
    <w:rsid w:val="0003523B"/>
    <w:rsid w:val="00060731"/>
    <w:rsid w:val="000A075A"/>
    <w:rsid w:val="000F6FE2"/>
    <w:rsid w:val="00250A61"/>
    <w:rsid w:val="00293B68"/>
    <w:rsid w:val="00555FF9"/>
    <w:rsid w:val="005707D8"/>
    <w:rsid w:val="00572C40"/>
    <w:rsid w:val="00595BBB"/>
    <w:rsid w:val="005A23A4"/>
    <w:rsid w:val="00626B90"/>
    <w:rsid w:val="007603C1"/>
    <w:rsid w:val="0090123D"/>
    <w:rsid w:val="00A66F0C"/>
    <w:rsid w:val="00AE6C4C"/>
    <w:rsid w:val="00C019F0"/>
    <w:rsid w:val="00C50069"/>
    <w:rsid w:val="00D47B3C"/>
    <w:rsid w:val="00E01B9B"/>
    <w:rsid w:val="00E53197"/>
    <w:rsid w:val="00E669FB"/>
    <w:rsid w:val="00FB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211F"/>
  <w15:chartTrackingRefBased/>
  <w15:docId w15:val="{43CF10B7-2E6E-4C1F-AB13-D5CE27BC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75A"/>
    <w:rPr>
      <w:rFonts w:eastAsiaTheme="majorEastAsia" w:cstheme="majorBidi"/>
      <w:color w:val="272727" w:themeColor="text1" w:themeTint="D8"/>
    </w:rPr>
  </w:style>
  <w:style w:type="paragraph" w:styleId="Title">
    <w:name w:val="Title"/>
    <w:basedOn w:val="Normal"/>
    <w:next w:val="Normal"/>
    <w:link w:val="TitleChar"/>
    <w:uiPriority w:val="10"/>
    <w:qFormat/>
    <w:rsid w:val="000A0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75A"/>
    <w:pPr>
      <w:spacing w:before="160"/>
      <w:jc w:val="center"/>
    </w:pPr>
    <w:rPr>
      <w:i/>
      <w:iCs/>
      <w:color w:val="404040" w:themeColor="text1" w:themeTint="BF"/>
    </w:rPr>
  </w:style>
  <w:style w:type="character" w:customStyle="1" w:styleId="QuoteChar">
    <w:name w:val="Quote Char"/>
    <w:basedOn w:val="DefaultParagraphFont"/>
    <w:link w:val="Quote"/>
    <w:uiPriority w:val="29"/>
    <w:rsid w:val="000A075A"/>
    <w:rPr>
      <w:i/>
      <w:iCs/>
      <w:color w:val="404040" w:themeColor="text1" w:themeTint="BF"/>
    </w:rPr>
  </w:style>
  <w:style w:type="paragraph" w:styleId="ListParagraph">
    <w:name w:val="List Paragraph"/>
    <w:basedOn w:val="Normal"/>
    <w:uiPriority w:val="34"/>
    <w:qFormat/>
    <w:rsid w:val="000A075A"/>
    <w:pPr>
      <w:ind w:left="720"/>
      <w:contextualSpacing/>
    </w:pPr>
  </w:style>
  <w:style w:type="character" w:styleId="IntenseEmphasis">
    <w:name w:val="Intense Emphasis"/>
    <w:basedOn w:val="DefaultParagraphFont"/>
    <w:uiPriority w:val="21"/>
    <w:qFormat/>
    <w:rsid w:val="000A075A"/>
    <w:rPr>
      <w:i/>
      <w:iCs/>
      <w:color w:val="0F4761" w:themeColor="accent1" w:themeShade="BF"/>
    </w:rPr>
  </w:style>
  <w:style w:type="paragraph" w:styleId="IntenseQuote">
    <w:name w:val="Intense Quote"/>
    <w:basedOn w:val="Normal"/>
    <w:next w:val="Normal"/>
    <w:link w:val="IntenseQuoteChar"/>
    <w:uiPriority w:val="30"/>
    <w:qFormat/>
    <w:rsid w:val="000A0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75A"/>
    <w:rPr>
      <w:i/>
      <w:iCs/>
      <w:color w:val="0F4761" w:themeColor="accent1" w:themeShade="BF"/>
    </w:rPr>
  </w:style>
  <w:style w:type="character" w:styleId="IntenseReference">
    <w:name w:val="Intense Reference"/>
    <w:basedOn w:val="DefaultParagraphFont"/>
    <w:uiPriority w:val="32"/>
    <w:qFormat/>
    <w:rsid w:val="000A075A"/>
    <w:rPr>
      <w:b/>
      <w:bCs/>
      <w:smallCaps/>
      <w:color w:val="0F4761" w:themeColor="accent1" w:themeShade="BF"/>
      <w:spacing w:val="5"/>
    </w:rPr>
  </w:style>
  <w:style w:type="paragraph" w:styleId="NormalWeb">
    <w:name w:val="Normal (Web)"/>
    <w:basedOn w:val="Normal"/>
    <w:uiPriority w:val="99"/>
    <w:semiHidden/>
    <w:unhideWhenUsed/>
    <w:rsid w:val="005707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99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Longoria</dc:creator>
  <cp:keywords/>
  <dc:description/>
  <cp:lastModifiedBy>Cindy Longoria</cp:lastModifiedBy>
  <cp:revision>14</cp:revision>
  <dcterms:created xsi:type="dcterms:W3CDTF">2024-04-07T14:34:00Z</dcterms:created>
  <dcterms:modified xsi:type="dcterms:W3CDTF">2024-04-09T22:34:00Z</dcterms:modified>
</cp:coreProperties>
</file>