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6sx3nkmyil7" w:id="0"/>
      <w:bookmarkEnd w:id="0"/>
      <w:r w:rsidDel="00000000" w:rsidR="00000000" w:rsidRPr="00000000">
        <w:rPr>
          <w:rtl w:val="0"/>
        </w:rPr>
        <w:t xml:space="preserve">NPRB 2301: Pacific Sleeper Shark Ageing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v4dlydkakun" w:id="1"/>
      <w:bookmarkEnd w:id="1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PSS Ageing Project Planning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Thursday, July 13 · 8:00 – 9:00am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zone: America/Anchorage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 Meet joining info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call link: https://meet.google.com/hnc-gjmh-wsa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 dial: ‪(US) +1 605-865-2088‬ PIN: ‪601 637 759‬#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More phone numbers: https://tel.meet/hnc-gjmh-wsa?pin=6791962608157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4nq7xv5pm8lq" w:id="2"/>
      <w:bookmarkEnd w:id="2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Bruce, Dan, Beth, Cindy, Taylor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9m9364lj8wg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(OMG….we made it, now we have to do something)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7gh4gl3r7qhp" w:id="4"/>
      <w:bookmarkEnd w:id="4"/>
      <w:r w:rsidDel="00000000" w:rsidR="00000000" w:rsidRPr="00000000">
        <w:rPr>
          <w:rtl w:val="0"/>
        </w:rPr>
        <w:t xml:space="preserve">NPRB/Budget Check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Some revised budgets, but nearly all have been returned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May have a delay in NPRB releasing funds, but not by much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37e4lk2bs9" w:id="5"/>
      <w:bookmarkEnd w:id="5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everyone access Gsuite?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Alternative suggestions: AFSC Public Dropbox (Cindy will make sure all data are non-confidential)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Cindy will talk to IT for other options Gsuite not going to work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Cindy will explore using GitHub as venue for sharing docs, analytics and project management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t4oww3iomhsl" w:id="6"/>
      <w:bookmarkEnd w:id="6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 we want monthly check-ins? At least for starters, then reassess. Late Sept or early Oct (Monday AM bad) Will send another doodle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When to do first PI meeting - Plan for January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Important Dates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Sept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 start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 meeting Sacramento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Feb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Progress report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Sept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report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report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Sept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report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 meeting Seattle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AMSS planned 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Jan 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end date - no extensions, spend all funds before this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Feb 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report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bketdcbssdd3" w:id="7"/>
      <w:bookmarkEnd w:id="7"/>
      <w:r w:rsidDel="00000000" w:rsidR="00000000" w:rsidRPr="00000000">
        <w:rPr>
          <w:rtl w:val="0"/>
        </w:rPr>
        <w:t xml:space="preserve">Phase 1: inventory samples - Cindy is working on it right now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162 total PSS eyes or sets of eyes in hand (total animals)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77 PSS animals with complete information (55, with both eyes) - information still being recovered from at-sea observer files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Lots of error checking being done on at-sea observer data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 if observer recorded TL instead of PCL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Conversions from standard to metric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Filter actual weight data from table or other estimates (if we want weight)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Currently expect about 50 more PSS samples to come in over the 2023 fishing season, already have the data in hand for 12 of them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Dist of samples by animal size, in cm (note: sizes are raw data, error checks still need to be performed and sizes translated to consistent lengths)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25 spiny dogfish “large” females in hand with data, many with embryos (still getting them inventoried), more to be collected this summer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33w2vciol5aj" w:id="8"/>
      <w:bookmarkEnd w:id="8"/>
      <w:r w:rsidDel="00000000" w:rsidR="00000000" w:rsidRPr="00000000">
        <w:rPr>
          <w:rtl w:val="0"/>
        </w:rPr>
        <w:t xml:space="preserve">Phase 2: select samples, separate layers and prep for AMS/isotopes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Below is the table from the proposal with our desired sample sizes. Budgeted for 240 AMS (both PSS and SD), 40 bulk isotopes and 5 CSIA (SD only).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Total of 30 PSS animals to be sampled, 10 SD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do we pick? Size range, maturity info, sexes distribution?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Does area matter?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How many extra eyes should we prep?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Are isotopes from same eyes we do AMS on, or do we need to prep more eyes?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eye pairs from sleeper sharks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for goopy eyes, select extras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eyes - start with 5-10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size distribution of samples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discuss if basins matter, likely these animals are semi-resident due to ontogentic minimal movement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 practice eyes to Dan Sept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ro5mhqwhxhdg" w:id="9"/>
      <w:bookmarkEnd w:id="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2"/>
          <w:szCs w:val="22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 Follow-up with NPRB re LLNL documents. LLNL hasn’t received a response, so not sure where things got lost.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2"/>
          <w:szCs w:val="22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 Set up collaboration environment (can’t use GSuite): maybe GitHub? Provides reproducible code platform, but also shared docs and project management tools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2"/>
          <w:szCs w:val="22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 Complete freezer inventory and database creation. Includes finding missing observer data forms, creating non-confidential haul locations, identifying practice specimens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 Set up sample discussion meeting late Aug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Cindy Tribuzio - NOAA Federal</w:t>
        </w:r>
      </w:hyperlink>
      <w:r w:rsidDel="00000000" w:rsidR="00000000" w:rsidRPr="00000000">
        <w:rPr>
          <w:rtl w:val="0"/>
        </w:rPr>
        <w:t xml:space="preserve"> Ship practice samples to Dan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dnstewart.ucdavis@gmail.com</w:t>
        </w:r>
      </w:hyperlink>
      <w:r w:rsidDel="00000000" w:rsidR="00000000" w:rsidRPr="00000000">
        <w:rPr>
          <w:rtl w:val="0"/>
        </w:rPr>
        <w:t xml:space="preserve"> Prepare to receive samples about Sept 1 and conduct practice dissections to evaluate condition and refine techniques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c0do1gdtfiro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indy.tribuzio@noaa.gov" TargetMode="External"/><Relationship Id="rId10" Type="http://schemas.openxmlformats.org/officeDocument/2006/relationships/hyperlink" Target="mailto:cindy.tribuzio@noaa.gov" TargetMode="External"/><Relationship Id="rId13" Type="http://schemas.openxmlformats.org/officeDocument/2006/relationships/hyperlink" Target="mailto:cindy.tribuzio@noaa.gov" TargetMode="External"/><Relationship Id="rId12" Type="http://schemas.openxmlformats.org/officeDocument/2006/relationships/hyperlink" Target="mailto:cindy.tribuzio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indy.tribuzio@noaa.gov" TargetMode="External"/><Relationship Id="rId14" Type="http://schemas.openxmlformats.org/officeDocument/2006/relationships/hyperlink" Target="mailto:dnstewart.ucdavis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