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FB30" w14:textId="2B406D65" w:rsidR="00AE65CE" w:rsidRPr="00A157FE" w:rsidRDefault="00AE65CE" w:rsidP="00A157FE">
      <w:pPr>
        <w:spacing w:line="276" w:lineRule="auto"/>
        <w:jc w:val="center"/>
        <w:rPr>
          <w:rFonts w:ascii="Arial" w:hAnsi="Arial" w:cs="Arial"/>
          <w:b/>
          <w:color w:val="000000" w:themeColor="text1"/>
        </w:rPr>
      </w:pPr>
      <w:r w:rsidRPr="00A157FE">
        <w:rPr>
          <w:rFonts w:ascii="Arial" w:hAnsi="Arial" w:cs="Arial"/>
          <w:b/>
          <w:color w:val="000000" w:themeColor="text1"/>
        </w:rPr>
        <w:t>Credit Risk Analysis Report</w:t>
      </w:r>
    </w:p>
    <w:p w14:paraId="61B18E56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25DBA461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The purpose of this credit risk analysis is to assess the performance of a machine learning model in predicting creditworthiness for loan applicants. The model aims to differentiate between healthy loans (class 0) and high-risk loans (class 1). The analysis provides insights into the accuracy, precision, and recall scores of the model to evaluate its effectiveness in making reliable predictions.</w:t>
      </w:r>
    </w:p>
    <w:p w14:paraId="763DF294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19013B2" w14:textId="73AE607E" w:rsidR="00AE65CE" w:rsidRPr="00A157FE" w:rsidRDefault="00AE65CE" w:rsidP="00A157FE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A157FE">
        <w:rPr>
          <w:rFonts w:ascii="Arial" w:hAnsi="Arial" w:cs="Arial"/>
          <w:b/>
          <w:color w:val="000000" w:themeColor="text1"/>
        </w:rPr>
        <w:t xml:space="preserve">Model Performance Metrics </w:t>
      </w:r>
    </w:p>
    <w:p w14:paraId="5DF153DD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F507E49" w14:textId="03B8A728" w:rsidR="00AE65CE" w:rsidRPr="00A157FE" w:rsidRDefault="00AE65CE" w:rsidP="00A157FE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A157FE">
        <w:rPr>
          <w:rFonts w:ascii="Arial" w:hAnsi="Arial" w:cs="Arial"/>
          <w:b/>
          <w:color w:val="000000" w:themeColor="text1"/>
        </w:rPr>
        <w:t>Model 1:</w:t>
      </w:r>
    </w:p>
    <w:p w14:paraId="5E09A291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32AE6BAB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Accuracy: 0.99</w:t>
      </w:r>
    </w:p>
    <w:p w14:paraId="6865548A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Precision:</w:t>
      </w:r>
    </w:p>
    <w:p w14:paraId="12690EAC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0: 1.00</w:t>
      </w:r>
    </w:p>
    <w:p w14:paraId="63649C79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1: 0.84</w:t>
      </w:r>
      <w:bookmarkStart w:id="0" w:name="_GoBack"/>
      <w:bookmarkEnd w:id="0"/>
    </w:p>
    <w:p w14:paraId="25D3AC72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Recall:</w:t>
      </w:r>
    </w:p>
    <w:p w14:paraId="448B46C3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0: 0.99</w:t>
      </w:r>
    </w:p>
    <w:p w14:paraId="2E268D45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1: 0.90</w:t>
      </w:r>
    </w:p>
    <w:p w14:paraId="18064F29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F1-Score:</w:t>
      </w:r>
    </w:p>
    <w:p w14:paraId="4517891F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0: 1.00</w:t>
      </w:r>
    </w:p>
    <w:p w14:paraId="32F45111" w14:textId="0E2B372E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1: 0.87</w:t>
      </w:r>
    </w:p>
    <w:p w14:paraId="2AF096C9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61D6B4BE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A157FE">
        <w:rPr>
          <w:rFonts w:ascii="Arial" w:hAnsi="Arial" w:cs="Arial"/>
          <w:b/>
          <w:color w:val="000000" w:themeColor="text1"/>
        </w:rPr>
        <w:t>Model 2:</w:t>
      </w:r>
    </w:p>
    <w:p w14:paraId="04E0C660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3E271330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Accuracy: 0.95</w:t>
      </w:r>
    </w:p>
    <w:p w14:paraId="7C17E8C2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Precision:</w:t>
      </w:r>
    </w:p>
    <w:p w14:paraId="3C494FE4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0: 0.92</w:t>
      </w:r>
    </w:p>
    <w:p w14:paraId="638AA994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1: 0.99</w:t>
      </w:r>
    </w:p>
    <w:p w14:paraId="5998851B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Recall:</w:t>
      </w:r>
    </w:p>
    <w:p w14:paraId="4B373DB1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0: 1.00</w:t>
      </w:r>
    </w:p>
    <w:p w14:paraId="214683D2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1: 0.91</w:t>
      </w:r>
    </w:p>
    <w:p w14:paraId="293BE4EF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F1-Score:</w:t>
      </w:r>
    </w:p>
    <w:p w14:paraId="79CA6FE6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0: 0.95</w:t>
      </w:r>
    </w:p>
    <w:p w14:paraId="6633CAE8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Class 1: 0.95</w:t>
      </w:r>
    </w:p>
    <w:p w14:paraId="7EA95405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3E7DACD9" w14:textId="2408BF8D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Model 1:</w:t>
      </w:r>
    </w:p>
    <w:p w14:paraId="4FA75106" w14:textId="506DDAA4" w:rsidR="00401A94" w:rsidRPr="00A157FE" w:rsidRDefault="00027534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Model 1 is generally accurate, with a minor trade-off between precision and recall for high-risk loans. Recommended for consideration, with a suggestion for further investigation into the consequences of false positives.</w:t>
      </w:r>
    </w:p>
    <w:p w14:paraId="21699D52" w14:textId="24393F1E" w:rsidR="00027534" w:rsidRPr="00A157FE" w:rsidRDefault="00027534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33736F1" w14:textId="38439B9C" w:rsidR="00A157FE" w:rsidRPr="00A157FE" w:rsidRDefault="00A157F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14B58445" w14:textId="77777777" w:rsidR="00A157FE" w:rsidRPr="00A157FE" w:rsidRDefault="00A157F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68FEF825" w14:textId="66083792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Model 2:</w:t>
      </w:r>
    </w:p>
    <w:p w14:paraId="33E2282B" w14:textId="51B191F5" w:rsidR="00A157FE" w:rsidRPr="00A157FE" w:rsidRDefault="00A157FE" w:rsidP="00A157FE">
      <w:pPr>
        <w:spacing w:line="276" w:lineRule="auto"/>
        <w:rPr>
          <w:rFonts w:ascii="Arial" w:eastAsia="Times New Roman" w:hAnsi="Arial" w:cs="Arial"/>
          <w:color w:val="000000" w:themeColor="text1"/>
        </w:rPr>
      </w:pPr>
      <w:r w:rsidRPr="00A157FE">
        <w:rPr>
          <w:rFonts w:ascii="Arial" w:eastAsia="Times New Roman" w:hAnsi="Arial" w:cs="Arial"/>
          <w:color w:val="000000" w:themeColor="text1"/>
        </w:rPr>
        <w:t>D</w:t>
      </w:r>
      <w:r w:rsidRPr="00A157FE">
        <w:rPr>
          <w:rFonts w:ascii="Arial" w:eastAsia="Times New Roman" w:hAnsi="Arial" w:cs="Arial"/>
          <w:color w:val="000000" w:themeColor="text1"/>
        </w:rPr>
        <w:t>emonstrates balanced and reliable performance in terms of accuracy, precision, and recall for both healthy and high-risk loans. Recommended for use by the company in credit risk analysis.</w:t>
      </w:r>
    </w:p>
    <w:p w14:paraId="6448D592" w14:textId="77777777" w:rsidR="00A157FE" w:rsidRPr="00A157FE" w:rsidRDefault="00A157F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05969EB6" w14:textId="77777777" w:rsidR="00AE65CE" w:rsidRPr="00A157FE" w:rsidRDefault="00AE65CE" w:rsidP="00A157FE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157FE">
        <w:rPr>
          <w:rFonts w:ascii="Arial" w:hAnsi="Arial" w:cs="Arial"/>
          <w:color w:val="000000" w:themeColor="text1"/>
        </w:rPr>
        <w:t>In conclusion, while both models exhibit strong performance, Model 2 is recommended for use by the company due to its balanced precision and recall scores for both healthy and high-risk loans. It provides a reliable and well-rounded solution for credit risk assessment.</w:t>
      </w:r>
    </w:p>
    <w:p w14:paraId="7E536356" w14:textId="77777777" w:rsidR="00AE65CE" w:rsidRPr="00A157FE" w:rsidRDefault="00AE65CE" w:rsidP="00A157FE">
      <w:pPr>
        <w:spacing w:line="276" w:lineRule="auto"/>
        <w:rPr>
          <w:rFonts w:ascii="Arial" w:hAnsi="Arial" w:cs="Arial"/>
        </w:rPr>
      </w:pPr>
    </w:p>
    <w:p w14:paraId="6016D56C" w14:textId="77777777" w:rsidR="00AE65CE" w:rsidRDefault="00AE65CE" w:rsidP="00AE65CE"/>
    <w:p w14:paraId="5B6F9081" w14:textId="41092ED0" w:rsidR="00B77A3E" w:rsidRDefault="00B77A3E" w:rsidP="00AE65CE"/>
    <w:sectPr w:rsidR="00B77A3E" w:rsidSect="0074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CE"/>
    <w:rsid w:val="00027534"/>
    <w:rsid w:val="00401A94"/>
    <w:rsid w:val="007413F6"/>
    <w:rsid w:val="00A157FE"/>
    <w:rsid w:val="00AE65CE"/>
    <w:rsid w:val="00B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02559"/>
  <w15:chartTrackingRefBased/>
  <w15:docId w15:val="{B6ED91B5-258D-1C4C-951B-07476FB4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852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598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681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40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69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15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901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38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80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233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046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8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3025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219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89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1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9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29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93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26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902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122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9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2023-11-29T03:48:00Z</dcterms:created>
  <dcterms:modified xsi:type="dcterms:W3CDTF">2023-11-29T04:35:00Z</dcterms:modified>
</cp:coreProperties>
</file>