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Estadística</w:t>
      </w:r>
      <w:r>
        <w:t xml:space="preserve"> </w:t>
      </w:r>
      <w:r>
        <w:t xml:space="preserve">1</w:t>
      </w:r>
    </w:p>
    <w:p>
      <w:pPr>
        <w:pStyle w:val="FirstParagraph"/>
      </w:pPr>
    </w:p>
    <w:p>
      <w:pPr>
        <w:pStyle w:val="BodyText"/>
      </w:pPr>
    </w:p>
    <w:p>
      <w:pPr>
        <w:pStyle w:val="BodyText"/>
      </w:pPr>
      <w:r>
        <w:t xml:space="preserve">Las distribuciones de probabilidad continua pueden tomar varias formas…</w:t>
      </w:r>
    </w:p>
    <w:p>
      <w:pPr>
        <w:pStyle w:val="BodyText"/>
      </w:pPr>
      <w:r>
        <w:t xml:space="preserve">La media</w:t>
      </w:r>
      <w:r>
        <w:t xml:space="preserve"> </w:t>
      </w:r>
      <m:oMath>
        <m:r>
          <m:t>μ</m:t>
        </m:r>
      </m:oMath>
      <w:r>
        <w:t xml:space="preserve"> </w:t>
      </w:r>
      <w:r>
        <w:t xml:space="preserve">localiza el centro de la distribución y la distribución es</w:t>
      </w:r>
      <w:r>
        <w:t xml:space="preserve"> </w:t>
      </w:r>
      <w:r>
        <w:t xml:space="preserve"> </w:t>
      </w:r>
      <w:r>
        <w:t xml:space="preserve">alrededor de su media</w:t>
      </w:r>
      <w:r>
        <w:t xml:space="preserve"> </w:t>
      </w:r>
      <m:oMath>
        <m:r>
          <m:t>μ</m:t>
        </m:r>
      </m:oMath>
      <w:r>
        <w:t xml:space="preserve">.</w:t>
      </w:r>
    </w:p>
    <w:p>
      <w:pPr>
        <w:pStyle w:val="BodyText"/>
      </w:pPr>
      <w:r>
        <w:t xml:space="preserve">Como el área bajo la distribución normal de probabilidad es igual a 1, la simetría implica que el área a la derecha de</w:t>
      </w:r>
      <w:r>
        <w:t xml:space="preserve"> </w:t>
      </w:r>
      <m:oMath>
        <m:r>
          <m:t>μ</m:t>
        </m:r>
      </m:oMath>
      <w:r>
        <w:t xml:space="preserve"> </w:t>
      </w:r>
      <w:r>
        <w:t xml:space="preserve">y el área a la izquierda de</w:t>
      </w:r>
      <w:r>
        <w:t xml:space="preserve"> </w:t>
      </w:r>
      <m:oMath>
        <m:r>
          <m:t>μ</m:t>
        </m:r>
      </m:oMath>
      <w:r>
        <w:t xml:space="preserve"> </w:t>
      </w:r>
      <w:r>
        <w:t xml:space="preserve">son iguales.</w:t>
      </w:r>
    </w:p>
    <w:p>
      <w:pPr>
        <w:pStyle w:val="BodyText"/>
      </w:pPr>
      <w:r>
        <w:t xml:space="preserve">La forma de la distribución está determinada por</w:t>
      </w:r>
      <w:r>
        <w:t xml:space="preserve"> </w:t>
      </w:r>
      <m:oMath>
        <m:r>
          <m:t>σ</m:t>
        </m:r>
      </m:oMath>
      <w:r>
        <w:t xml:space="preserve">, la desviación estándar de la población.</w:t>
      </w:r>
    </w:p>
    <w:p>
      <w:pPr>
        <w:pStyle w:val="BodyText"/>
      </w:pPr>
    </w:p>
    <w:p>
      <w:pPr>
        <w:pStyle w:val="BodyText"/>
      </w:pPr>
      <w:r>
        <w:t xml:space="preserve">Una variable aleatoria normal x está estandarizada al expresar su valos como el número de desviaciones estándar</w:t>
      </w:r>
      <w:r>
        <w:t xml:space="preserve"> </w:t>
      </w:r>
      <m:oMath>
        <m:r>
          <m:t>σ</m:t>
        </m:r>
      </m:oMath>
      <w:r>
        <w:t xml:space="preserve"> </w:t>
      </w:r>
      <w:r>
        <w:t xml:space="preserve">que se encuentra a la izquierda o derecha de su media</w:t>
      </w:r>
      <w:r>
        <w:t xml:space="preserve"> </w:t>
      </w:r>
      <m:oMath>
        <m:r>
          <m:t>σ</m:t>
        </m:r>
      </m:oMath>
      <w:r>
        <w:t xml:space="preserve">.</w:t>
      </w:r>
    </w:p>
    <w:p>
      <w:pPr>
        <w:pStyle w:val="BodyText"/>
      </w:pPr>
      <w:r>
        <w:t xml:space="preserve">La variable aleatoria normal estándar, z, se define como,</w:t>
      </w:r>
    </w:p>
    <w:p>
      <w:pPr>
        <w:pStyle w:val="BodyText"/>
      </w:pPr>
      <m:oMathPara>
        <m:oMathParaPr>
          <m:jc m:val="center"/>
        </m:oMathParaPr>
        <m:oMath>
          <m:r>
            <m:t>z</m:t>
          </m:r>
          <m:r>
            <m:rPr>
              <m:sty m:val="p"/>
            </m:rPr>
            <m:t>=</m:t>
          </m:r>
          <m:f>
            <m:fPr>
              <m:type m:val="bar"/>
            </m:fPr>
            <m:num>
              <m:r>
                <m:t>x</m:t>
              </m:r>
              <m:r>
                <m:rPr>
                  <m:sty m:val="p"/>
                </m:rPr>
                <m:t>−</m:t>
              </m:r>
              <m:r>
                <m:t>μ</m:t>
              </m:r>
            </m:num>
            <m:den>
              <m:r>
                <m:t>σ</m:t>
              </m:r>
            </m:den>
          </m:f>
        </m:oMath>
      </m:oMathPara>
    </w:p>
    <w:p>
      <w:pPr>
        <w:pStyle w:val="FirstParagraph"/>
      </w:pPr>
      <w:r>
        <w:t xml:space="preserve">o bien, lo que es equivalente,</w:t>
      </w:r>
    </w:p>
    <w:p>
      <w:pPr>
        <w:pStyle w:val="BodyText"/>
      </w:pPr>
      <m:oMathPara>
        <m:oMathParaPr>
          <m:jc m:val="center"/>
        </m:oMathParaPr>
        <m:oMath>
          <m:r>
            <m:t>x</m:t>
          </m:r>
          <m:r>
            <m:rPr>
              <m:sty m:val="p"/>
            </m:rPr>
            <m:t>=</m:t>
          </m:r>
          <m:r>
            <m:t>μ</m:t>
          </m:r>
          <m:r>
            <m:rPr>
              <m:sty m:val="p"/>
            </m:rPr>
            <m:t>+</m:t>
          </m:r>
          <m:r>
            <m:t>z</m:t>
          </m:r>
          <m:r>
            <m:t>σ</m:t>
          </m:r>
        </m:oMath>
      </m:oMathPara>
    </w:p>
    <w:p>
      <w:pPr>
        <w:pStyle w:val="FirstParagraph"/>
      </w:pPr>
      <w:r>
        <w:t xml:space="preserve">De la fórmula podemos deducir que:</w:t>
      </w:r>
    </w:p>
    <w:p>
      <w:pPr>
        <w:pStyle w:val="BodyText"/>
      </w:pPr>
    </w:p>
    <w:p>
      <w:pPr>
        <w:pStyle w:val="BodyText"/>
      </w:pPr>
      <w:r>
        <w:t xml:space="preserve">Las distribuciones de probabilidad continua pueden tomar varias formas…</w:t>
      </w:r>
    </w:p>
    <w:p>
      <w:pPr>
        <w:pStyle w:val="BodyText"/>
      </w:pPr>
      <w:r>
        <w:t xml:space="preserve">La media</w:t>
      </w:r>
      <w:r>
        <w:t xml:space="preserve"> </w:t>
      </w:r>
      <m:oMath>
        <m:r>
          <m:t>μ</m:t>
        </m:r>
      </m:oMath>
      <w:r>
        <w:t xml:space="preserve"> </w:t>
      </w:r>
      <w:r>
        <w:t xml:space="preserve">localiza el centro de la distribución y la distribución es</w:t>
      </w:r>
      <w:r>
        <w:t xml:space="preserve"> </w:t>
      </w:r>
      <w:r>
        <w:t xml:space="preserve"> </w:t>
      </w:r>
      <w:r>
        <w:t xml:space="preserve">al rededor de su media</w:t>
      </w:r>
      <w:r>
        <w:t xml:space="preserve"> </w:t>
      </w:r>
      <m:oMath>
        <m:r>
          <m:t>μ</m:t>
        </m:r>
      </m:oMath>
      <w:r>
        <w:t xml:space="preserve">.</w:t>
      </w:r>
    </w:p>
    <w:p>
      <w:pPr>
        <w:pStyle w:val="BodyText"/>
      </w:pPr>
      <w:r>
        <w:t xml:space="preserve">Como el área bajo la distribución normal de probabilidad es igual a 1, la simetría implica que el área a la derecha de</w:t>
      </w:r>
      <w:r>
        <w:t xml:space="preserve"> </w:t>
      </w:r>
      <m:oMath>
        <m:r>
          <m:t>μ</m:t>
        </m:r>
      </m:oMath>
      <w:r>
        <w:t xml:space="preserve"> </w:t>
      </w:r>
      <w:r>
        <w:t xml:space="preserve">y el área a la izquierda de</w:t>
      </w:r>
      <w:r>
        <w:t xml:space="preserve"> </w:t>
      </w:r>
      <m:oMath>
        <m:r>
          <m:t>μ</m:t>
        </m:r>
      </m:oMath>
      <w:r>
        <w:t xml:space="preserve"> </w:t>
      </w:r>
      <w:r>
        <w:t xml:space="preserve">son iguales.</w:t>
      </w:r>
    </w:p>
    <w:p>
      <w:pPr>
        <w:pStyle w:val="BodyText"/>
      </w:pPr>
      <w:r>
        <w:t xml:space="preserve">La forma de la distribución está determinada por</w:t>
      </w:r>
      <w:r>
        <w:t xml:space="preserve"> </w:t>
      </w:r>
      <m:oMath>
        <m:r>
          <m:t>σ</m:t>
        </m:r>
      </m:oMath>
      <w:r>
        <w:t xml:space="preserve">, la desviación estándar de la población.</w:t>
      </w:r>
    </w:p>
    <w:p>
      <w:pPr>
        <w:pStyle w:val="BodyText"/>
      </w:pPr>
    </w:p>
    <w:p>
      <w:pPr>
        <w:pStyle w:val="BodyText"/>
      </w:pPr>
      <w:r>
        <w:t xml:space="preserve">Una variable aleatoria normal x está estandarizada al expresar su valos como el número de desviaciones estándar</w:t>
      </w:r>
      <w:r>
        <w:t xml:space="preserve"> </w:t>
      </w:r>
      <m:oMath>
        <m:r>
          <m:t>σ</m:t>
        </m:r>
      </m:oMath>
      <w:r>
        <w:t xml:space="preserve"> </w:t>
      </w:r>
      <w:r>
        <w:t xml:space="preserve">que se encuentra a la izquierda o derecha de su media</w:t>
      </w:r>
      <w:r>
        <w:t xml:space="preserve"> </w:t>
      </w:r>
      <m:oMath>
        <m:r>
          <m:t>σ</m:t>
        </m:r>
      </m:oMath>
      <w:r>
        <w:t xml:space="preserve">.</w:t>
      </w:r>
    </w:p>
    <w:p>
      <w:pPr>
        <w:pStyle w:val="BodyText"/>
      </w:pPr>
      <w:r>
        <w:t xml:space="preserve">La variable aleatoria normal estándar, z, se define como,</w:t>
      </w:r>
    </w:p>
    <w:p>
      <w:pPr>
        <w:pStyle w:val="BodyText"/>
      </w:pPr>
      <m:oMathPara>
        <m:oMathParaPr>
          <m:jc m:val="center"/>
        </m:oMathParaPr>
        <m:oMath>
          <m:r>
            <m:t>z</m:t>
          </m:r>
          <m:r>
            <m:rPr>
              <m:sty m:val="p"/>
            </m:rPr>
            <m:t>=</m:t>
          </m:r>
          <m:f>
            <m:fPr>
              <m:type m:val="bar"/>
            </m:fPr>
            <m:num>
              <m:r>
                <m:t>x</m:t>
              </m:r>
              <m:r>
                <m:rPr>
                  <m:sty m:val="p"/>
                </m:rPr>
                <m:t>−</m:t>
              </m:r>
              <m:r>
                <m:t>μ</m:t>
              </m:r>
            </m:num>
            <m:den>
              <m:r>
                <m:t>σ</m:t>
              </m:r>
            </m:den>
          </m:f>
        </m:oMath>
      </m:oMathPara>
    </w:p>
    <w:p>
      <w:pPr>
        <w:pStyle w:val="FirstParagraph"/>
      </w:pPr>
      <w:r>
        <w:t xml:space="preserve">o bien, lo que es equivalente,</w:t>
      </w:r>
    </w:p>
    <w:p>
      <w:pPr>
        <w:pStyle w:val="BodyText"/>
      </w:pPr>
      <m:oMathPara>
        <m:oMathParaPr>
          <m:jc m:val="center"/>
        </m:oMathParaPr>
        <m:oMath>
          <m:r>
            <m:t>x</m:t>
          </m:r>
          <m:r>
            <m:rPr>
              <m:sty m:val="p"/>
            </m:rPr>
            <m:t>=</m:t>
          </m:r>
          <m:r>
            <m:t>μ</m:t>
          </m:r>
          <m:r>
            <m:rPr>
              <m:sty m:val="p"/>
            </m:rPr>
            <m:t>+</m:t>
          </m:r>
          <m:r>
            <m:t>z</m:t>
          </m:r>
          <m:r>
            <m:t>σ</m:t>
          </m:r>
        </m:oMath>
      </m:oMathPara>
    </w:p>
    <w:p>
      <w:pPr>
        <w:pStyle w:val="FirstParagraph"/>
      </w:pPr>
      <w:r>
        <w:t xml:space="preserve">De la fórmula podemos deducir que:</w:t>
      </w:r>
    </w:p>
    <w:p>
      <w:pPr>
        <w:pStyle w:val="BodyText"/>
      </w:pPr>
      <w:r>
        <w:t xml:space="preserve">###Página 249 Estadística y probabilidad</w:t>
      </w:r>
    </w:p>
    <w:p>
      <w:pPr>
        <w:pStyle w:val="BodyText"/>
      </w:pPr>
      <w:r>
        <w:t xml:space="preserve">En teoría de probabilidad y estadística, la distribución geométrica es cyalquiera de las dos distribuciones de probabilidad discretas siguientes:</w:t>
      </w:r>
    </w:p>
    <w:p>
      <w:pPr>
        <w:numPr>
          <w:ilvl w:val="0"/>
          <w:numId w:val="1001"/>
        </w:numPr>
        <w:pStyle w:val="Compact"/>
      </w:pPr>
      <w:r>
        <w:t xml:space="preserve">Si</w:t>
      </w:r>
      <w:r>
        <w:t xml:space="preserve"> </w:t>
      </w:r>
      <m:oMath>
        <m:r>
          <m:t>X</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es el número necesario para obtener un éxito</w:t>
      </w:r>
    </w:p>
    <w:p>
      <w:pPr>
        <w:numPr>
          <w:ilvl w:val="0"/>
          <w:numId w:val="1001"/>
        </w:numPr>
        <w:pStyle w:val="Compact"/>
      </w:pPr>
      <w:r>
        <w:t xml:space="preserve">Si</w:t>
      </w:r>
      <w:r>
        <w:t xml:space="preserve"> </w:t>
      </w:r>
      <m:oMath>
        <m:r>
          <m:t>X</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es el número de fracasos antes del primer éxito</w:t>
      </w:r>
    </w:p>
    <w:p>
      <w:pPr>
        <w:pStyle w:val="FirstParagraph"/>
      </w:pPr>
    </w:p>
    <w:p>
      <w:pPr>
        <w:pStyle w:val="BodyText"/>
      </w:pPr>
      <w:r>
        <w:t xml:space="preserve">Si una variable aleatoria discreta X sigue una distribución geométrica con parámetro</w:t>
      </w:r>
      <w:r>
        <w:t xml:space="preserve"> </w:t>
      </w:r>
      <m:oMath>
        <m:r>
          <m:t>0</m:t>
        </m:r>
        <m:r>
          <m:rPr>
            <m:sty m:val="p"/>
          </m:rPr>
          <m:t>&lt;</m:t>
        </m:r>
        <m:r>
          <m:t>p</m:t>
        </m:r>
        <m:r>
          <m:rPr>
            <m:sty m:val="p"/>
          </m:rPr>
          <m:t>&lt;</m:t>
        </m:r>
        <m:r>
          <m:t>1</m:t>
        </m:r>
      </m:oMath>
      <w:r>
        <w:t xml:space="preserve"> </w:t>
      </w:r>
      <w:r>
        <w:t xml:space="preserve">entonces escribiremos</w:t>
      </w:r>
      <w:r>
        <w:t xml:space="preserve"> </w:t>
      </w:r>
      <m:oMath>
        <m:r>
          <m:t>X</m:t>
        </m:r>
        <m:r>
          <m:rPr>
            <m:sty m:val="p"/>
          </m:rPr>
          <m:t>∽</m:t>
        </m:r>
        <m:r>
          <m:t>G</m:t>
        </m:r>
        <m:r>
          <m:t>e</m:t>
        </m:r>
        <m:r>
          <m:t>o</m:t>
        </m:r>
        <m:r>
          <m:t>m</m:t>
        </m:r>
        <m:r>
          <m:t>e</m:t>
        </m:r>
        <m:r>
          <m:t>t</m:t>
        </m:r>
        <m:r>
          <m:t>r</m:t>
        </m:r>
        <m:r>
          <m:t>i</m:t>
        </m:r>
        <m:r>
          <m:t>c</m:t>
        </m:r>
        <m:r>
          <m:t>a</m:t>
        </m:r>
        <m:d>
          <m:dPr>
            <m:begChr m:val="("/>
            <m:endChr m:val=")"/>
            <m:sepChr m:val=""/>
            <m:grow/>
          </m:dPr>
          <m:e>
            <m:r>
              <m:t>p</m:t>
            </m:r>
          </m:e>
        </m:d>
      </m:oMath>
      <w:r>
        <w:t xml:space="preserve"> </w:t>
      </w:r>
      <w:r>
        <w:t xml:space="preserve">o simplemente</w:t>
      </w:r>
      <w:r>
        <w:t xml:space="preserve"> </w:t>
      </w:r>
      <m:oMath>
        <m:r>
          <m:t>X</m:t>
        </m:r>
        <m:r>
          <m:rPr>
            <m:sty m:val="p"/>
          </m:rPr>
          <m:t>∽</m:t>
        </m:r>
        <m:r>
          <m:t>G</m:t>
        </m:r>
        <m:r>
          <m:t>e</m:t>
        </m:r>
        <m:r>
          <m:t>o</m:t>
        </m:r>
        <m:d>
          <m:dPr>
            <m:begChr m:val="("/>
            <m:endChr m:val=")"/>
            <m:sepChr m:val=""/>
            <m:grow/>
          </m:dPr>
          <m:e>
            <m:r>
              <m:t>p</m:t>
            </m:r>
          </m:e>
        </m:d>
      </m:oMath>
    </w:p>
    <w:p>
      <w:pPr>
        <w:pStyle w:val="BodyText"/>
      </w:pPr>
    </w:p>
    <w:p>
      <w:pPr>
        <w:pStyle w:val="BodyText"/>
      </w:pPr>
      <w:r>
        <w:t xml:space="preserve">Si la variable aleatoria discreta X se usa para modelar el número de fracasos antes de obtener el primer éxito en una sucesión de ensayos independientes Bernoulli en donde cada uno de ellos la probabilidad de éxito es p, entonces la función de probabilidad de</w:t>
      </w:r>
      <w:r>
        <w:t xml:space="preserve"> </w:t>
      </w:r>
      <m:oMath>
        <m:r>
          <m:t>X</m:t>
        </m:r>
        <m:r>
          <m:rPr>
            <m:sty m:val="p"/>
          </m:rPr>
          <m:t>∽</m:t>
        </m:r>
        <m:r>
          <m:t>G</m:t>
        </m:r>
        <m:r>
          <m:t>e</m:t>
        </m:r>
        <m:r>
          <m:t>o</m:t>
        </m:r>
        <m:r>
          <m:t>m</m:t>
        </m:r>
        <m:r>
          <m:t>e</m:t>
        </m:r>
        <m:r>
          <m:t>t</m:t>
        </m:r>
        <m:r>
          <m:t>r</m:t>
        </m:r>
        <m:r>
          <m:t>i</m:t>
        </m:r>
        <m:r>
          <m:t>c</m:t>
        </m:r>
        <m:r>
          <m:t>a</m:t>
        </m:r>
        <m:d>
          <m:dPr>
            <m:begChr m:val="("/>
            <m:endChr m:val=")"/>
            <m:sepChr m:val=""/>
            <m:grow/>
          </m:dPr>
          <m:e>
            <m:r>
              <m:t>p</m:t>
            </m:r>
          </m:e>
        </m:d>
      </m:oMath>
      <w:r>
        <w:t xml:space="preserve"> </w:t>
      </w:r>
      <w:r>
        <w:t xml:space="preserve">es</w:t>
      </w:r>
    </w:p>
    <w:p>
      <w:pPr>
        <w:pStyle w:val="BodyText"/>
      </w:pPr>
      <m:oMathPara>
        <m:oMathParaPr>
          <m:jc m:val="center"/>
        </m:oMathParaPr>
        <m:oMath>
          <m:r>
            <m:t>P</m:t>
          </m:r>
          <m:d>
            <m:dPr>
              <m:begChr m:val="["/>
              <m:endChr m:val="]"/>
              <m:sepChr m:val=""/>
              <m:grow/>
            </m:dPr>
            <m:e>
              <m:r>
                <m:t>X</m:t>
              </m:r>
              <m:r>
                <m:rPr>
                  <m:sty m:val="p"/>
                </m:rPr>
                <m:t>=</m:t>
              </m:r>
              <m:r>
                <m:t>x</m:t>
              </m:r>
            </m:e>
          </m:d>
          <m:r>
            <m:rPr>
              <m:sty m:val="p"/>
            </m:rPr>
            <m:t>=</m:t>
          </m:r>
          <m:r>
            <m:t>p</m:t>
          </m:r>
          <m:sSup>
            <m:e>
              <m:d>
                <m:dPr>
                  <m:begChr m:val="("/>
                  <m:endChr m:val=")"/>
                  <m:sepChr m:val=""/>
                  <m:grow/>
                </m:dPr>
                <m:e>
                  <m:r>
                    <m:t>1</m:t>
                  </m:r>
                  <m:r>
                    <m:rPr>
                      <m:sty m:val="p"/>
                    </m:rPr>
                    <m:t>−</m:t>
                  </m:r>
                  <m:r>
                    <m:t>p</m:t>
                  </m:r>
                </m:e>
              </m:d>
            </m:e>
            <m:sup>
              <m:r>
                <m:t>x</m:t>
              </m:r>
            </m:sup>
          </m:sSup>
        </m:oMath>
      </m:oMathPara>
    </w:p>
    <w:p>
      <w:pPr>
        <w:pStyle w:val="FirstParagraph"/>
      </w:pPr>
      <w:r>
        <w:t xml:space="preserve">Para valores de</w:t>
      </w:r>
    </w:p>
    <w:p>
      <w:pPr>
        <w:pStyle w:val="BodyText"/>
      </w:pPr>
      <m:oMathPara>
        <m:oMathParaPr>
          <m:jc m:val="center"/>
        </m:oMathParaPr>
        <m:oMath>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m:oMathPara>
    </w:p>
    <w:p>
      <w:pPr>
        <w:pStyle w:val="FirstParagraph"/>
      </w:pPr>
      <w:r>
        <w:t xml:space="preserve">Ejemplo 1:</w:t>
      </w:r>
    </w:p>
    <w:p>
      <w:pPr>
        <w:pStyle w:val="BodyText"/>
      </w:pPr>
      <w:r>
        <w:t xml:space="preserve">Suponga que cada una de sus llamadas a una estación de radio popular tiene una probabilidad de 0.02 de ser respondida. Asumiendo que las llamadas son independientes, ¿cuál es la probabilidad de que la respondan a la décima llamada?¿Cuál es el número medio de llamadas para conectar?</w:t>
      </w:r>
    </w:p>
    <w:p>
      <w:pPr>
        <w:pStyle w:val="BodyText"/>
      </w:pPr>
      <w:r>
        <w:t xml:space="preserve">Sea</w:t>
      </w:r>
      <w:r>
        <w:t xml:space="preserve"> </w:t>
      </w:r>
      <m:oMath>
        <m:r>
          <m:t>x</m:t>
        </m:r>
      </m:oMath>
      <w:r>
        <w:t xml:space="preserve"> </w:t>
      </w:r>
      <w:r>
        <w:t xml:space="preserve">el número de llamadas a la estación hasta ser atendido.</w:t>
      </w:r>
    </w:p>
    <w:p>
      <w:pPr>
        <w:pStyle w:val="BodyText"/>
      </w:pPr>
      <w:r>
        <w:t xml:space="preserve">Éxito: llamada respondida (p)</w:t>
      </w:r>
      <w:r>
        <w:t xml:space="preserve"> </w:t>
      </w:r>
      <w:r>
        <w:t xml:space="preserve">Fracaso: llamada no respondida (1-p)</w:t>
      </w:r>
    </w:p>
    <w:p>
      <w:pPr>
        <w:pStyle w:val="BodyText"/>
      </w:pPr>
      <w:r>
        <w:t xml:space="preserve">Sea</w:t>
      </w:r>
      <w:r>
        <w:t xml:space="preserve"> </w:t>
      </w:r>
      <m:oMath>
        <m:r>
          <m:t>p</m:t>
        </m:r>
        <m:r>
          <m:rPr>
            <m:sty m:val="p"/>
          </m:rPr>
          <m:t>=</m:t>
        </m:r>
        <m:r>
          <m:t>0.02</m:t>
        </m:r>
      </m:oMath>
      <w:r>
        <w:t xml:space="preserve"> </w:t>
      </w:r>
      <w:r>
        <w:t xml:space="preserve">y</w:t>
      </w:r>
      <w:r>
        <w:t xml:space="preserve"> </w:t>
      </w:r>
      <m:oMath>
        <m:r>
          <m:t>1</m:t>
        </m:r>
        <m:r>
          <m:rPr>
            <m:sty m:val="p"/>
          </m:rPr>
          <m:t>−</m:t>
        </m:r>
        <m:r>
          <m:t>p</m:t>
        </m:r>
        <m:r>
          <m:rPr>
            <m:sty m:val="p"/>
          </m:rPr>
          <m:t>=</m:t>
        </m:r>
        <m:r>
          <m:t>0.98</m:t>
        </m:r>
      </m:oMath>
    </w:p>
    <w:p>
      <w:pPr>
        <w:pStyle w:val="BodyText"/>
      </w:pPr>
      <w:r>
        <w:t xml:space="preserve">Entonces:</w:t>
      </w:r>
    </w:p>
    <w:p>
      <w:pPr>
        <w:pStyle w:val="BodyText"/>
      </w:pPr>
      <m:oMathPara>
        <m:oMathParaPr>
          <m:jc m:val="center"/>
        </m:oMathParaPr>
        <m:oMath>
          <m:r>
            <m:t>f</m:t>
          </m:r>
          <m:d>
            <m:dPr>
              <m:begChr m:val="("/>
              <m:endChr m:val=")"/>
              <m:sepChr m:val=""/>
              <m:grow/>
            </m:dPr>
            <m:e>
              <m:r>
                <m:t>x</m:t>
              </m:r>
            </m:e>
          </m:d>
          <m:r>
            <m:rPr>
              <m:sty m:val="p"/>
            </m:rPr>
            <m:t>=</m:t>
          </m:r>
          <m:sSup>
            <m:e>
              <m:d>
                <m:dPr>
                  <m:begChr m:val="("/>
                  <m:endChr m:val=")"/>
                  <m:sepChr m:val=""/>
                  <m:grow/>
                </m:dPr>
                <m:e>
                  <m:r>
                    <m:t>1</m:t>
                  </m:r>
                  <m:r>
                    <m:rPr>
                      <m:sty m:val="p"/>
                    </m:rPr>
                    <m:t>−</m:t>
                  </m:r>
                  <m:r>
                    <m:t>p</m:t>
                  </m:r>
                </m:e>
              </m:d>
            </m:e>
            <m:sup>
              <m:r>
                <m:t>x</m:t>
              </m:r>
              <m:r>
                <m:rPr>
                  <m:sty m:val="p"/>
                </m:rPr>
                <m:t>−</m:t>
              </m:r>
              <m:r>
                <m:t>1</m:t>
              </m:r>
            </m:sup>
          </m:sSup>
          <m:r>
            <m:t>p</m:t>
          </m:r>
        </m:oMath>
      </m:oMathPara>
    </w:p>
    <w:p>
      <w:pPr>
        <w:pStyle w:val="FirstParagraph"/>
      </w:pPr>
      <m:oMathPara>
        <m:oMathParaPr>
          <m:jc m:val="center"/>
        </m:oMathParaPr>
        <m:oMath>
          <m:r>
            <m:t>f</m:t>
          </m:r>
          <m:d>
            <m:dPr>
              <m:begChr m:val="("/>
              <m:endChr m:val=")"/>
              <m:sepChr m:val=""/>
              <m:grow/>
            </m:dPr>
            <m:e>
              <m:r>
                <m:t>x</m:t>
              </m:r>
            </m:e>
          </m:d>
          <m:r>
            <m:rPr>
              <m:sty m:val="p"/>
            </m:rPr>
            <m:t>=</m:t>
          </m:r>
          <m:sSup>
            <m:e>
              <m:d>
                <m:dPr>
                  <m:begChr m:val="("/>
                  <m:endChr m:val=")"/>
                  <m:sepChr m:val=""/>
                  <m:grow/>
                </m:dPr>
                <m:e>
                  <m:r>
                    <m:t>0.98</m:t>
                  </m:r>
                </m:e>
              </m:d>
            </m:e>
            <m:sup>
              <m:r>
                <m:t>10</m:t>
              </m:r>
              <m:r>
                <m:rPr>
                  <m:sty m:val="p"/>
                </m:rPr>
                <m:t>−</m:t>
              </m:r>
              <m:r>
                <m:t>1</m:t>
              </m:r>
            </m:sup>
          </m:sSup>
          <m:d>
            <m:dPr>
              <m:begChr m:val="("/>
              <m:endChr m:val=")"/>
              <m:sepChr m:val=""/>
              <m:grow/>
            </m:dPr>
            <m:e>
              <m:r>
                <m:t>0.02</m:t>
              </m:r>
            </m:e>
          </m:d>
        </m:oMath>
      </m:oMathPara>
    </w:p>
    <w:p>
      <w:pPr>
        <w:pStyle w:val="FirstParagraph"/>
      </w:pPr>
      <m:oMathPara>
        <m:oMathParaPr>
          <m:jc m:val="center"/>
        </m:oMathParaPr>
        <m:oMath>
          <m:r>
            <m:t>f</m:t>
          </m:r>
          <m:d>
            <m:dPr>
              <m:begChr m:val="("/>
              <m:endChr m:val=")"/>
              <m:sepChr m:val=""/>
              <m:grow/>
            </m:dPr>
            <m:e>
              <m:r>
                <m:t>x</m:t>
              </m:r>
            </m:e>
          </m:d>
          <m:r>
            <m:rPr>
              <m:sty m:val="p"/>
            </m:rPr>
            <m:t>=</m:t>
          </m:r>
          <m:r>
            <m:t>0.0167</m:t>
          </m:r>
        </m:oMath>
      </m:oMathPara>
    </w:p>
    <w:p>
      <w:pPr>
        <w:pStyle w:val="FirstParagraph"/>
      </w:pPr>
      <w:r>
        <w:t xml:space="preserve">Para calcular el valor esperado de una distribución geométrica sabemos que:</w:t>
      </w:r>
    </w:p>
    <w:p>
      <w:pPr>
        <w:pStyle w:val="BodyText"/>
      </w:pPr>
      <m:oMathPara>
        <m:oMathParaPr>
          <m:jc m:val="center"/>
        </m:oMathParaPr>
        <m:oMath>
          <m:r>
            <m:t>E</m:t>
          </m:r>
          <m:d>
            <m:dPr>
              <m:begChr m:val="("/>
              <m:endChr m:val=")"/>
              <m:sepChr m:val=""/>
              <m:grow/>
            </m:dPr>
            <m:e>
              <m:r>
                <m:t>x</m:t>
              </m:r>
            </m:e>
          </m:d>
          <m:r>
            <m:rPr>
              <m:sty m:val="p"/>
            </m:rPr>
            <m:t>=</m:t>
          </m:r>
          <m:f>
            <m:fPr>
              <m:type m:val="bar"/>
            </m:fPr>
            <m:num>
              <m:r>
                <m:t>1</m:t>
              </m:r>
            </m:num>
            <m:den>
              <m:r>
                <m:t>p</m:t>
              </m:r>
            </m:den>
          </m:f>
        </m:oMath>
      </m:oMathPara>
    </w:p>
    <w:p>
      <w:pPr>
        <w:pStyle w:val="FirstParagraph"/>
      </w:pPr>
      <w:r>
        <w:t xml:space="preserve">Al sustituir:</w:t>
      </w:r>
    </w:p>
    <w:p>
      <w:pPr>
        <w:pStyle w:val="BodyText"/>
      </w:pPr>
      <m:oMathPara>
        <m:oMathParaPr>
          <m:jc m:val="center"/>
        </m:oMathParaPr>
        <m:oMath>
          <m:r>
            <m:t>E</m:t>
          </m:r>
          <m:d>
            <m:dPr>
              <m:begChr m:val="("/>
              <m:endChr m:val=")"/>
              <m:sepChr m:val=""/>
              <m:grow/>
            </m:dPr>
            <m:e>
              <m:r>
                <m:t>x</m:t>
              </m:r>
            </m:e>
          </m:d>
          <m:r>
            <m:rPr>
              <m:sty m:val="p"/>
            </m:rPr>
            <m:t>=</m:t>
          </m:r>
          <m:f>
            <m:fPr>
              <m:type m:val="bar"/>
            </m:fPr>
            <m:num>
              <m:r>
                <m:t>1</m:t>
              </m:r>
            </m:num>
            <m:den>
              <m:r>
                <m:t>0.02</m:t>
              </m:r>
            </m:den>
          </m:f>
          <m:r>
            <m:rPr>
              <m:sty m:val="p"/>
            </m:rPr>
            <m:t>=</m:t>
          </m:r>
          <m:r>
            <m:t>50</m:t>
          </m:r>
        </m:oMath>
      </m:oMathPara>
    </w:p>
    <w:p>
      <w:pPr>
        <w:pStyle w:val="FirstParagraph"/>
      </w:pPr>
      <w:r>
        <w:t xml:space="preserve">Ejemplo 2:</w:t>
      </w:r>
    </w:p>
    <w:p>
      <w:pPr>
        <w:pStyle w:val="BodyText"/>
      </w:pPr>
    </w:p>
    <w:p>
      <w:pPr>
        <w:pStyle w:val="BodyText"/>
      </w:pPr>
      <w:r>
        <w:t xml:space="preserve">Media :</w:t>
      </w:r>
    </w:p>
    <w:p>
      <w:pPr>
        <w:pStyle w:val="BodyText"/>
      </w:pPr>
      <m:oMathPara>
        <m:oMathParaPr>
          <m:jc m:val="center"/>
        </m:oMathParaPr>
        <m:oMath>
          <m:r>
            <m:t>E</m:t>
          </m:r>
          <m:d>
            <m:dPr>
              <m:begChr m:val="("/>
              <m:endChr m:val=")"/>
              <m:sepChr m:val=""/>
              <m:grow/>
            </m:dPr>
            <m:e>
              <m:r>
                <m:t>x</m:t>
              </m:r>
            </m:e>
          </m:d>
          <m:r>
            <m:rPr>
              <m:sty m:val="p"/>
            </m:rPr>
            <m:t>=</m:t>
          </m:r>
          <m:r>
            <m:t>λ</m:t>
          </m:r>
        </m:oMath>
      </m:oMathPara>
    </w:p>
    <w:p>
      <w:pPr>
        <w:pStyle w:val="FirstParagraph"/>
      </w:pPr>
      <w:r>
        <w:t xml:space="preserve">Varianza:</w:t>
      </w:r>
    </w:p>
    <w:p>
      <w:pPr>
        <w:pStyle w:val="BodyText"/>
      </w:pPr>
      <m:oMathPara>
        <m:oMathParaPr>
          <m:jc m:val="center"/>
        </m:oMathParaPr>
        <m:oMath>
          <m:r>
            <m:t>V</m:t>
          </m:r>
          <m:d>
            <m:dPr>
              <m:begChr m:val="("/>
              <m:endChr m:val=")"/>
              <m:sepChr m:val=""/>
              <m:grow/>
            </m:dPr>
            <m:e>
              <m:r>
                <m:t>x</m:t>
              </m:r>
            </m:e>
          </m:d>
          <m:r>
            <m:rPr>
              <m:sty m:val="p"/>
            </m:rPr>
            <m:t>=</m:t>
          </m:r>
          <m:r>
            <m:t>λ</m:t>
          </m:r>
        </m:oMath>
      </m:oMathPara>
    </w:p>
    <w:p>
      <w:pPr>
        <w:pStyle w:val="FirstParagraph"/>
      </w:pPr>
      <w:r>
        <w:t xml:space="preserve">Es decir, tanto el valor esperado como la varianza de una variable aleatoria con distribución de Poisson son iguales a</w:t>
      </w:r>
      <w:r>
        <w:t xml:space="preserve"> </w:t>
      </w:r>
      <m:oMath>
        <m:r>
          <m:t>λ</m:t>
        </m:r>
      </m:oMath>
    </w:p>
    <w:p>
      <w:pPr>
        <w:pStyle w:val="BodyText"/>
      </w:pPr>
    </w:p>
    <w:p>
      <w:pPr>
        <w:pStyle w:val="BodyText"/>
      </w:pPr>
      <w:r>
        <w:t xml:space="preserve">Como consecuencia del TCL, para valores grandes de</w:t>
      </w:r>
      <w:r>
        <w:t xml:space="preserve"> </w:t>
      </w:r>
      <m:oMath>
        <m:r>
          <m:t>λ</m:t>
        </m:r>
      </m:oMath>
      <w:r>
        <w:t xml:space="preserve"> </w:t>
      </w:r>
      <w:r>
        <w:t xml:space="preserve">de una variable aleatoria Poisson X puede aproximarse por otra normal dado que el cociente:</w:t>
      </w:r>
    </w:p>
    <w:p>
      <w:pPr>
        <w:pStyle w:val="BodyText"/>
      </w:pPr>
      <m:oMathPara>
        <m:oMathParaPr>
          <m:jc m:val="center"/>
        </m:oMathParaPr>
        <m:oMath>
          <m:r>
            <m:t>Y</m:t>
          </m:r>
          <m:r>
            <m:rPr>
              <m:sty m:val="p"/>
            </m:rPr>
            <m:t>=</m:t>
          </m:r>
          <m:f>
            <m:fPr>
              <m:type m:val="bar"/>
            </m:fPr>
            <m:num>
              <m:r>
                <m:t>X</m:t>
              </m:r>
              <m:r>
                <m:rPr>
                  <m:sty m:val="p"/>
                </m:rPr>
                <m:t>−</m:t>
              </m:r>
              <m:r>
                <m:t>λ</m:t>
              </m:r>
            </m:num>
            <m:den>
              <m:rad>
                <m:radPr>
                  <m:degHide m:val="1"/>
                </m:radPr>
                <m:deg/>
                <m:e>
                  <m:r>
                    <m:t>λ</m:t>
                  </m:r>
                </m:e>
              </m:rad>
            </m:den>
          </m:f>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Estadística 1</dc:title>
  <dc:creator/>
  <cp:keywords/>
  <dcterms:created xsi:type="dcterms:W3CDTF">2022-11-08T22:48:33Z</dcterms:created>
  <dcterms:modified xsi:type="dcterms:W3CDTF">2022-11-08T22:48:33Z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