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bookmarkStart w:id="0" w:name="_GoBack"/>
      <w:bookmarkEnd w:id="0"/>
      <w:r>
        <w:fldChar w:fldCharType="begin"/>
      </w:r>
      <w:r>
        <w:instrText xml:space="preserve"> HYPERLINK "http://ember-cli.com/user-guide/" \l "using-ember-qunit-for-integration-tests" </w:instrText>
      </w:r>
      <w:r>
        <w:fldChar w:fldCharType="separate"/>
      </w:r>
      <w:r>
        <w:rPr>
          <w:rStyle w:val="3"/>
        </w:rPr>
        <w:t>http://ember-cli.com/user-guide/#using-ember-qunit-for-integration-tests</w:t>
      </w:r>
      <w:r>
        <w:fldChar w:fldCharType="end"/>
      </w:r>
    </w:p>
    <w:p>
      <w:pPr>
        <w:numPr>
          <w:ilvl w:val="0"/>
          <w:numId w:val="1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If you want to use external libraries that write to a global namespace (e.g.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instrText xml:space="preserve"> HYPERLINK "http://momentjs.com/"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t>moment.js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),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you need to add those to the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</w:t>
      </w:r>
      <w:r>
        <w:rPr>
          <w:rStyle w:val="4"/>
          <w:rFonts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bdr w:val="none" w:color="auto" w:sz="0" w:space="0"/>
          <w:shd w:val="clear" w:fill="F9F2F4"/>
        </w:rPr>
        <w:t>predef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section of your project’s </w:t>
      </w:r>
      <w:r>
        <w:rPr>
          <w:rStyle w:val="4"/>
          <w:rFonts w:hint="default"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bdr w:val="none" w:color="auto" w:sz="0" w:space="0"/>
          <w:shd w:val="clear" w:fill="F9F2F4"/>
        </w:rPr>
        <w:t>.jshintrc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file and set its value to true.</w:t>
      </w:r>
    </w:p>
    <w:p>
      <w:pPr>
        <w:numPr>
          <w:ilvl w:val="0"/>
          <w:numId w:val="1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Note: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</w:t>
      </w:r>
      <w:r>
        <w:rPr>
          <w:rStyle w:val="4"/>
          <w:rFonts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bdr w:val="none" w:color="auto" w:sz="0" w:space="0"/>
          <w:shd w:val="clear" w:fill="F9F2F4"/>
        </w:rPr>
        <w:t>initializers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are loaded automatically.</w:t>
      </w:r>
    </w:p>
    <w:p>
      <w:pPr>
        <w:numPr>
          <w:ilvl w:val="0"/>
          <w:numId w:val="1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All filenames should be lowercased</w:t>
      </w:r>
    </w:p>
    <w:p>
      <w:pPr>
        <w:numPr>
          <w:ilvl w:val="0"/>
          <w:numId w:val="1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define a POD path using the attribute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</w:t>
      </w:r>
      <w:r>
        <w:rPr>
          <w:rStyle w:val="4"/>
          <w:rFonts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bdr w:val="none" w:color="auto" w:sz="0" w:space="0"/>
          <w:shd w:val="clear" w:fill="F9F2F4"/>
        </w:rPr>
        <w:t>podModulePrefix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within your environment configs. The POD path should use the following format: </w:t>
      </w:r>
      <w:r>
        <w:rPr>
          <w:rFonts w:hint="default"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bdr w:val="none" w:color="auto" w:sz="0" w:space="0"/>
          <w:shd w:val="clear" w:fill="F9F2F4"/>
        </w:rPr>
        <w:t>{appname}/{poddir}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.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drawing>
          <wp:inline distT="0" distB="0" distL="114300" distR="114300">
            <wp:extent cx="5272405" cy="2438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98197">
    <w:nsid w:val="56ED63F5"/>
    <w:multiLevelType w:val="singleLevel"/>
    <w:tmpl w:val="56ED63F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398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5FF7"/>
    <w:rsid w:val="13745C5A"/>
    <w:rsid w:val="2A3C1C75"/>
    <w:rsid w:val="2F152535"/>
    <w:rsid w:val="5C962B15"/>
    <w:rsid w:val="5D3C42DB"/>
    <w:rsid w:val="765B31FA"/>
    <w:rsid w:val="76BA0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2016-03-19T16:08:54Z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