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</w:r>
    </w:p>
    <w:p>
      <w:pPr>
        <w:spacing w:before="0" w:after="520" w:line="240" w:lineRule="auto"/>
      </w:pPr>
      <w:r>
        <w:rPr>
          <w:rFonts w:ascii="Consolas" w:hAnsi="Consolas" w:eastAsia="微软雅黑" w:cs="Consolas"/>
          <w:b w:val="0"/>
          <w:i w:val="0"/>
          <w:color w:val="D9500F"/>
          <w:sz w:val="20"/>
          <w:spacing w:val="40"/>
        </w:rPr>
        <w:t>TAA 平台 · 用户文档</w:t>
      </w:r>
    </w:p>
    <w:p>
      <w:pPr>
        <w:spacing w:before="0" w:after="200" w:line="300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60"/>
          <w:spacing w:val="10"/>
        </w:rPr>
        <w:t>TAA 模型提供方用户手册</w:t>
      </w:r>
    </w:p>
    <w:p>
      <w:pPr>
        <w:spacing w:before="0" w:after="360" w:line="336" w:lineRule="auto"/>
      </w:pPr>
      <w:r>
        <w:rPr>
          <w:rFonts w:ascii="微软雅黑" w:hAnsi="微软雅黑" w:eastAsia="微软雅黑" w:cs="微软雅黑"/>
          <w:b w:val="0"/>
          <w:i w:val="0"/>
          <w:color w:val="6B5B54"/>
          <w:sz w:val="30"/>
        </w:rPr>
        <w:t>模型代码的文件读写约定</w:t>
      </w:r>
    </w:p>
    <w:p>
      <w:pPr>
        <w:pBdr>
          <w:bottom w:val="single" w:sz="12" w:space="2" w:color="D9500F"/>
        </w:pBdr>
        <w:spacing w:before="0" w:after="680" w:line="240" w:lineRule="auto"/>
      </w:pPr>
    </w:p>
    <w:tbl>
      <w:tblPr>
        <w:tblW w:type="auto" w:w="0"/>
        <w:tblBorders>
          <w:top w:val="nil" w:sz="4" w:space="0" w:color="E9DAD2"/>
          <w:left w:val="nil" w:sz="4" w:space="0" w:color="E9DAD2"/>
          <w:bottom w:val="nil" w:sz="4" w:space="0" w:color="E9DAD2"/>
          <w:right w:val="nil" w:sz="4" w:space="0" w:color="E9DAD2"/>
          <w:insideH w:val="nil" w:sz="4" w:space="0" w:color="E9DAD2"/>
          <w:insideV w:val="nil" w:sz="4" w:space="0" w:color="E9DAD2"/>
        </w:tblBorders>
        <w:tblLayout w:type="fixed"/>
        <w:tblCellMar>
          <w:top w:w="55" w:type="dxa"/>
          <w:left w:w="0" w:type="dxa"/>
          <w:bottom w:w="55" w:type="dxa"/>
          <w:right w:w="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V1.0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2026-10-26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TAA 机密计算平台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模型提供方开发人员</w:t>
            </w:r>
          </w:p>
        </w:tc>
      </w:tr>
    </w:tbl>
    <w:p>
      <w:pPr>
        <w:spacing w:before="3000" w:after="80" w:line="240" w:lineRule="auto"/>
      </w:pPr>
      <w:r>
        <w:rPr>
          <w:rFonts w:ascii="微软雅黑" w:hAnsi="微软雅黑" w:eastAsia="微软雅黑" w:cs="微软雅黑"/>
          <w:b/>
          <w:i w:val="0"/>
          <w:color w:val="6B5B54"/>
          <w:sz w:val="22"/>
        </w:rPr>
        <w:t>纽创信安（OSR）</w:t>
      </w:r>
    </w:p>
    <w:p>
      <w:pPr>
        <w:spacing w:before="0" w:after="0" w:line="240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内部资料 · 请勿外传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2"/>
        </w:rPr>
        <w:t>文档信息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0-1  文档信息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文档名称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 模型提供方用户手册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V1.0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2026-10-26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 机密计算平台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模型提供方开发人员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编写单位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纽创信安（OSR）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0-2  修订记录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47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版本</w:t>
            </w:r>
          </w:p>
        </w:tc>
        <w:tc>
          <w:tcPr>
            <w:tcW w:type="dxa" w:w="192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日期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修订说明</w:t>
            </w:r>
          </w:p>
        </w:tc>
        <w:tc>
          <w:tcPr>
            <w:tcW w:type="dxa" w:w="136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修订人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V1.0</w:t>
            </w:r>
          </w:p>
        </w:tc>
        <w:tc>
          <w:tcPr>
            <w:tcW w:type="dxa" w:w="192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2026-10-26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首次发布</w:t>
            </w:r>
          </w:p>
        </w:tc>
        <w:tc>
          <w:tcPr>
            <w:tcW w:type="dxa" w:w="136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黄建业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本手册描述模型代码在 TAA 机密计算平台内的文件读写约定。手册内容与平台版本同步更新，后续修订会记录在上表中。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2"/>
        </w:rPr>
        <w:t>目录</w:t>
      </w:r>
    </w:p>
    <w:p>
      <w:pPr>
        <w:spacing w:before="0" w:after="0" w:line="312" w:lineRule="auto"/>
      </w:pPr>
      <w:r>
        <w:fldChar w:fldCharType="begin"/>
      </w:r>
      <w:r>
        <w:instrText xml:space="preserve"> TOC \o "1-2" \h \z \u </w:instrText>
      </w:r>
      <w:r>
        <w:fldChar w:fldCharType="separate"/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1  概述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1.1  编写目的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1.2  适用范围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1.3  读者对象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1.4  术语与缩略语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2  运行环境与目录布局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2.1  TEE 内目录结构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2.2  目录职责与生命周期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2.3  基本约定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3  接入流程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3.1  接入步骤总览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3.2  步骤一：确认输入与输出目录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3.3  步骤二：参数化目录配置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3.4  步骤三：实现三类输出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3.5  步骤四：本地自检并上线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4  写日志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4.1  文件位置与命名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4.4  编写要求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4.5  参考实现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5  上报训练进度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5.1  文件位置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5.4  写入要求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5.5  参考实现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5.6  进度预算建议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6  生成结果汇总文件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6.1  文件位置与生效条件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6.2  文件格式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6.3  采集范围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6.4  写入示例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6.5  失败路径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7  禁止事项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8  常见问题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9  上线前检查清单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附录 A  关键路径速查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附录 B  端到端示例</w:t>
      </w:r>
    </w:p>
    <w:p>
      <w:pPr>
        <w:spacing w:before="0" w:after="0" w:line="312" w:lineRule="auto"/>
      </w:pPr>
      <w:r>
        <w:fldChar w:fldCharType="end"/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1  概述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1.1  编写目的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本手册面向接入 TAA 机密计算平台的模型提供方，说明模型代码在 TEE（可信执行环境）内应如何读取输入、写出日志、上报训练进度并生成结果汇总文件。按本手册改造后的代码不调用任何网络接口，也不需要引入专有依赖，在普通环境下同样可以运行。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1.2  适用范围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本手册适用于在 TAA 内执行的训练任务与推理任务。手册只覆盖文件读写约定；代码审计红线、任务阶段划分与产物导出口径不在本手册范围内。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1.3  读者对象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负责模型训练或推理代码开发、需要将代码接入 TAA 的工程人员。读者应熟悉 Linux 文件操作与 JSON 格式，并具备 Python 编程能力。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1.4  术语与缩略语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1-1  术语说明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术语</w:t>
            </w:r>
          </w:p>
        </w:tc>
        <w:tc>
          <w:tcPr>
            <w:tcW w:type="dxa" w:w="759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Trusted Application Agent，可信应用代理；模型训练与推理的机密计算平台，模型代码在其中的 TEE 内执行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TEE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Trusted Execution Environment，可信执行环境；宿主无法读取或篡改其中的内存与文件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输入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平台提供、模型只读的数据，位于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/opt/taa/input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产物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需要导出的输出文件，位于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，任务结束后统一导出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旁路文件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日志与进度文件，用于展示运行状态，不随任务导出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文中「注意」框表示必须遵守的限制，「提示」框给出建议做法；代码示例可直接复制使用。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2  运行环境与目录布局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2.1  TEE 内目录结构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TEE 内固定提供以下目录，模型代码只与它们打交道。输入目录的内容按模型实际需要而定，由平台在任务开始时准备。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2-1  目录结构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76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路径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角色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/opt/taa/input/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只读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可写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├── result/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 · 唯一会被导出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├── weights/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├── training_result.json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└── test_result.xlsx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├── log/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 · 不导出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└── progress/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 · 不导出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/opt/taa/models/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你的源码 · 进程工作目录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下的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weights/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、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、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test_result.xlsx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是示例，按实际交付内容替换。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2.2  目录职责与生命周期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2-2  目录职责与生命周期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209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目录</w:t>
            </w:r>
          </w:p>
        </w:tc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用途</w:t>
            </w:r>
          </w:p>
        </w:tc>
        <w:tc>
          <w:tcPr>
            <w:tcW w:type="dxa" w:w="124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是否导出</w:t>
            </w:r>
          </w:p>
        </w:tc>
        <w:tc>
          <w:tcPr>
            <w:tcW w:type="dxa" w:w="323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生命周期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input/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模型只读的输入数据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任务开始时由平台准备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output/result/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交付产物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是（唯一）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任务开始时创建；进程以 0 退出后收集并导出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output/log/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运行日志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每次任务开始前清空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output/progress/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进度文件所在目录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进度文件在每次任务开始前删除</w:t>
            </w:r>
          </w:p>
        </w:tc>
      </w:tr>
      <w:tr>
        <w:trPr>
          <w:cantSplit w:val="true"/>
        </w:trPr>
        <w:tc>
          <w:tcPr>
            <w:tcW w:type="dxa" w:w="209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models/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模型源码，进程工作目录</w:t>
            </w:r>
          </w:p>
        </w:tc>
        <w:tc>
          <w:tcPr>
            <w:tcW w:type="dxa" w:w="124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323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任务开始时提供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2.3  基本约定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接入前请先确认以下三条约定，它们贯穿全文：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1)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输入目录只读。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不得在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下创建、修改或删除任何文件，包括缓存与临时文件。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2)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产物集中在 </w:t>
      </w:r>
      <w:r>
        <w:rPr>
          <w:rFonts w:ascii="Consolas" w:hAnsi="Consolas" w:eastAsia="宋体" w:cs="Consolas"/>
          <w:b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progress/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只是旁路通道；需要交付的文件一律放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3)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不要写相对路径。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进程的工作目录是源码目录，相对路径会落到代码目录而不是产物目录。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3  接入流程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3.1  接入步骤总览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把一份已有代码接入 TAA，通常按以下五步完成：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3-1  接入步骤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02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步骤</w:t>
            </w:r>
          </w:p>
        </w:tc>
        <w:tc>
          <w:tcPr>
            <w:tcW w:type="dxa" w:w="54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  <w:tc>
          <w:tcPr>
            <w:tcW w:type="dxa" w:w="272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参见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1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确认输入与输出目录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2.1、2.2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参数化目录配置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3.3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实现日志与进度输出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第 4 章、第 5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4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写出结果汇总文件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第 6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5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本地自检并上线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3.5、第 9 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3.2  步骤一：确认输入与输出目录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先确认代码读取什么、产出什么。所有读取只应发生在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下；所有需要交付的文件只应写到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3.3  步骤二：参数化目录配置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建议把三个目录写成模块级常量，并允许用环境变量覆盖，这样同一份代码在本地调试与 TEE 内运行可以使用不同路径：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3-1  目录常量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"TAA_INPUT_DIR"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"TAA_OUTPUT_DIR"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"log"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"progress.json"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3.4  步骤三：实现三类输出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日志、进度与结果汇总文件的作用不同，实现方式也不同：日志用于展示运行过程，按行追加；进度用于驱动平台上的进度条，需要原子写入且单调不回退；结果汇总文件在任务结束时写出，被合并进最终报告。三类输出的格式分别见第 4、5、6 章。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3.5  步骤四：本地自检并上线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改造完成后，先在普通环境用临时目录完整跑一遍，确认三个文件都按预期生成、内容可以正常解析；随后按第 9 章的检查清单逐项确认，再提交上线。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4  写日志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4.1  文件位置与命名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下。目录下的所有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文件都会被读取，可以按阶段拆成多个文件。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4.2  格式要求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每行一个 JSON 对象，追加写入：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"2026-10-12T07:15:32Z"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"[Train] Epoch 3/150 finished - loss: 0.3821"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4-1  日志字段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message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日志正文，也接受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msg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RFC3339 时间戳，也接受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time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；写入后显示为日志前缀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未识别的字段会被忽略，可以按需增加。也接受不含 JSON 的纯文本行。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4.4  编写要求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每行以换行符结尾。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没有换行的尾部（包括正在写入的半行）不会被读取，直到换行符落盘为止。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只追加，不覆盖、不回退。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文件如果变小（被截断重写），会被当作新文件从头读取，导致日志重复。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4-1  日志写入参考实现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filename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"train.log"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filename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"a"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"%Y-%m-%dT%H:%M:%SZ"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()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不 flush，日志会滞留在缓冲区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print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同时输出到控制台，便于本地调试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19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每次任务开始前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log/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目录会被清空。不要依赖上一次运行留下的文件，每次运行重新创建。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5  上报训练进度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5.1  文件位置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进度写在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。注意这是一个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文件路径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，不是目录，文件名固定为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5.2  格式要求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34.6525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"2026-10-12T07:15:32.123456Z"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5-1  进度字段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percent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0.0 – 100.0，也接受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percentage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。越界、非数字或整个文件不是 JSON 对象都会被忽略，进度停在原处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RFC3339 / RFC3339Nano UTC，建议带微秒。缺失或格式非法时使用文件修改时间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整个文件只会被读取这两个字段，其余字段一律忽略：写了不报错，但不会展示、也不会被使用。进度之外的信息请写进日志。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5.4  写入要求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进度文件会被频繁读取，必须保证任何时刻读到的都是完整内容：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原子写入。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先写临时文件，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fsync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后再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os.replace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覆盖目标文件。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单调不回退。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新值不得小于已写入的值，避免进度条跳回。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03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限频写入。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建议最小间隔 0.2 秒，且百分比变化小于 0.0001 时跳过。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5-1  进度写入参考实现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0.0001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with_suffix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".tmp"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-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bool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round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float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),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4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单调不回退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()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abs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"%Y-%m-%dT%H:%M:%S.%fZ"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fsync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fileno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replace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原子替换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5.6  进度预算建议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可按任务调整，原则是初始化与收尾都要覆盖，长循环中间要有细粒度变化。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5-2  建议的进度预算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区间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0% – 2%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参数解析、模型构建、损失与优化器、DataLoader 就绪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2% – 96%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按 epoch 均分；epoch 内按 batch 平滑插值；每 epoch 开始、25%、50%、75%、收尾各强制写一次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96% – 100%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指标汇总、写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training_result.json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、完成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19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每次任务开始前进度文件会被删除。若进度长时间不动，平台侧看到的进度条也会停住。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6  生成结果汇总文件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6.1  文件位置与生效条件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结果汇总文件位于产物目录根部，即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。进程以退出码 0 结束后，该文件会被读取，并与审计信息、数据校验和合并成最终报告。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只有 </w:t>
      </w:r>
      <w:r>
        <w:rPr>
          <w:rFonts w:ascii="Consolas" w:hAnsi="Consolas" w:eastAsia="宋体" w:cs="Consolas"/>
          <w:b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 里的产物会被导出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；进程非 0 退出时产物不会被收集。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6.2  文件格式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"training_task"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"final_auc"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0.9810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"final_f1"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0.9380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[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0.6500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0.8500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0.8100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0.4200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3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]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"splits"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"train"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"test"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}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6.3  采集范围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6-1  被采集的内容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位置</w:t>
            </w:r>
          </w:p>
        </w:tc>
        <w:tc>
          <w:tcPr>
            <w:tcW w:type="dxa" w:w="6576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training_task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训练任务信息，其中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metrics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为训练指标，键名自定，原样并入报告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dataset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数据集规模，常用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total_samples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splits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其他键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不会进入报告，可以自由增加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6.4  写入示例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6-1  写出结果汇总文件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"training_result.json"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training_result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6.5  失败路径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文件缺失不会导致任务失败，但报告里就没有对应指标。建议在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finally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中写出该文件，使异常退出时也能留下可用的指标；进程非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不会被导出，此时以日志与进度为准。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7  禁止事项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以下行为会导致导出被拒绝或审计结论不通过，接入前请逐项核对：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7-1  禁止事项与后果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649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行为</w:t>
            </w:r>
          </w:p>
        </w:tc>
        <w:tc>
          <w:tcPr>
            <w:tcW w:type="dxa" w:w="45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后果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/opt/taa/input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下创建、修改、删除文件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违反 TEE 内只读约束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把输入数据原样拷进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result/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（原始图片、CSV、标注文件）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导出前的反泄露检查会比对数据特征，命中即</w:t>
            </w:r>
            <w:r>
              <w:rPr>
                <w:rFonts w:ascii="Calibri" w:hAnsi="Calibri" w:eastAsia="宋体" w:cs="Calibri"/>
                <w:b/>
                <w:i w:val="0"/>
                <w:color w:val="241B17"/>
                <w:sz w:val="19"/>
              </w:rPr>
              <w:t>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在产物中写入明文 PEM 私钥、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SECRET_KEY=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API_KEY=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等环境变量转储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同上，命中明文特征即拒绝导出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任何网络外联（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socket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requests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urllib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httpx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aiohttp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代码审计红线，审计结论将判为未通过并上报平台（结论仅供参考，由平台侧处置）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反弹 Shell、提权、危险系统调用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同上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单次产物超过大小上限（默认 3 GB）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导出被拒绝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8  常见问题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8.1  代码在普通环境调试时也要写这些文件吗？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建议保持一致。用 3.3 节的环境变量把目录指向本地临时目录即可，读写方式与 TEE 内完全相同，便于提前发现格式问题。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8.2  日志可以直接打印到标准输出吗？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可以用于本地调试，但平台只读取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目录下的文件。正式运行必须把日志落到文件，同时打印到控制台不影响使用。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8.3  一次运行写了多个日志文件会怎样？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目录下所有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都会被读取，可以按阶段拆分文件。但不要重写或截断已经写过的内容，否则会被当作新文件重新读取。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8.4  进度长时间不动会怎样？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平台显示的进度会停在最后一次成功读取的值。进度文件被删除、内容非法或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越界时，同样停留在原处。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8.5  训练中途失败，还要写 </w:t>
      </w:r>
      <w:r>
        <w:rPr>
          <w:rFonts w:ascii="Consolas" w:hAnsi="Consolas" w:eastAsia="微软雅黑" w:cs="Consolas"/>
          <w:b/>
          <w:i w:val="0"/>
          <w:color w:val="A8261B"/>
          <w:sz w:val="21"/>
        </w:rPr>
        <w:t>training_result.json</w:t>
      </w: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 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应在退出前尽量写出。进程非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不会被导出，但保留该文件便于排查；失败信息同时写进日志与进度，平台侧才能看到。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8.6  可以把中间 checkpoint 写在 </w:t>
      </w:r>
      <w:r>
        <w:rPr>
          <w:rFonts w:ascii="Consolas" w:hAnsi="Consolas" w:eastAsia="微软雅黑" w:cs="Consolas"/>
          <w:b/>
          <w:i w:val="0"/>
          <w:color w:val="A8261B"/>
          <w:sz w:val="21"/>
        </w:rPr>
        <w:t>result/</w:t>
      </w: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 下吗？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可以，但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下的文件都会被导出，且单个产物受大小上限（默认 3 GB）限制。只放需要交付的文件，中间产物写到别处或不保留。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9  上线前检查清单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提交上线前，请逐项确认以下内容：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输入目录只读，代码中没有任何指向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的写操作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所有需要交付导出的文件都写在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下，没有散落在别处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路径按绝对路径书写，没有写成相对路径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，每行以换行符结尾，只追加不重写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进度原子写入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在 0–100 之间且单调不回退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结束前写出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，含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training_task.metrics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dataset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失败路径同样写出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，或至少保证日志与进度可用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产物中没有原始数据副本、密钥、环境变量转储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代码中不存在任何网络调用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附录 A  关键路径速查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A-1  关键路径与格式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项目</w:t>
            </w:r>
          </w:p>
        </w:tc>
        <w:tc>
          <w:tcPr>
            <w:tcW w:type="dxa" w:w="340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路径</w:t>
            </w:r>
          </w:p>
        </w:tc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格式</w:t>
            </w:r>
          </w:p>
        </w:tc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运行日志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/opt/taa/output/log/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*.jsonl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*.log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，每行一个 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训练进度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/opt/taa/output/progress/progress.json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JSON 对象，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percent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为 0–100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结果汇总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/opt/taa/output/result/training_result.json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建议写，并入最终报告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交付产物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任意文件，单个不超过 3 GB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会被导出，注意体积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附录 B  端到端示例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下面的骨架把三类输出串在一起，可作为改造既有代码的起点：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B-1  端到端骨架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"log"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train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150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build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只读输入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for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range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run_epoch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"[Train] Epoch %d/%d finished - loss: %.4f"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   %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94.0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*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"training_task"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dataset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)}}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"training_result.json"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write_text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finally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361" w:bottom="1304" w:left="1361" w:header="652" w:footer="65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5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876"/>
          <w:tcBorders>
            <w:top w:val="single" w:sz="4" w:space="0" w:color="E9DAD2"/>
          </w:tcBorders>
        </w:tcPr>
        <w:p>
          <w:pPr>
            <w:spacing w:before="0" w:after="0"/>
          </w:pPr>
          <w:r>
            <w:rPr>
              <w:rFonts w:ascii="微软雅黑" w:hAnsi="微软雅黑" w:eastAsia="微软雅黑" w:cs="微软雅黑"/>
              <w:b w:val="0"/>
              <w:i w:val="0"/>
              <w:color w:val="9B8A82"/>
              <w:sz w:val="16"/>
            </w:rPr>
            <w:t>纽创信安（OSR）</w:t>
          </w:r>
        </w:p>
      </w:tc>
      <w:tc>
        <w:tcPr>
          <w:tcW w:type="dxa" w:w="4309"/>
          <w:tcBorders>
            <w:top w:val="single" w:sz="4" w:space="0" w:color="E9DAD2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第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PAGE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 共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NUMPAGES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14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0" w:type="dxa"/>
        <w:left w:w="0" w:type="dxa"/>
        <w:bottom w:w="6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309"/>
          <w:tcBorders>
            <w:bottom w:val="single" w:sz="4" w:space="0" w:color="E9DAD2"/>
          </w:tcBorders>
        </w:tcPr>
        <w:p>
          <w:pPr>
            <w:spacing w:before="0" w:after="4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1116000" cy="33563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xhlog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6000" cy="33563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76"/>
          <w:tcBorders>
            <w:bottom w:val="single" w:sz="4" w:space="0" w:color="E9DAD2"/>
          </w:tcBorders>
        </w:tcPr>
        <w:p>
          <w:pPr>
            <w:spacing w:before="0" w:after="40" w:line="240" w:lineRule="auto"/>
            <w:jc w:val="right"/>
          </w:pPr>
          <w:r>
            <w:rPr>
              <w:rFonts w:ascii="微软雅黑" w:hAnsi="微软雅黑" w:eastAsia="微软雅黑" w:cs="微软雅黑"/>
              <w:b w:val="0"/>
              <w:i w:val="0"/>
              <w:color w:val="6B5B54"/>
              <w:sz w:val="17"/>
            </w:rPr>
            <w:t>TAA 模型提供方用户手册  ·  V1.0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Calibri" w:hAnsi="Calibri" w:eastAsia="宋体"/>
      <w:color w:val="241B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TAA 模型提供方用户手册</dc:title>
  <dc:subject>模型代码的文件读写约定</dc:subject>
  <dc:creator>纽创信安（OSR）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