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800" w:after="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24"/>
        </w:rPr>
      </w:r>
    </w:p>
    <w:p>
      <w:pPr>
        <w:spacing w:before="0" w:after="520" w:line="240" w:lineRule="auto"/>
      </w:pPr>
      <w:r>
        <w:rPr>
          <w:rFonts w:ascii="Consolas" w:hAnsi="Consolas" w:eastAsia="微软雅黑" w:cs="Consolas"/>
          <w:b w:val="0"/>
          <w:i w:val="0"/>
          <w:color w:val="D9500F"/>
          <w:sz w:val="20"/>
          <w:spacing w:val="40"/>
        </w:rPr>
        <w:t>TAA 平台 · 用户文档</w:t>
      </w:r>
    </w:p>
    <w:p>
      <w:pPr>
        <w:spacing w:before="0" w:after="200" w:line="300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60"/>
          <w:spacing w:val="10"/>
        </w:rPr>
        <w:t>TAA 模型提供方用户手册</w:t>
      </w:r>
    </w:p>
    <w:p>
      <w:pPr>
        <w:spacing w:before="0" w:after="360" w:line="336" w:lineRule="auto"/>
      </w:pPr>
      <w:r>
        <w:rPr>
          <w:rFonts w:ascii="微软雅黑" w:hAnsi="微软雅黑" w:eastAsia="微软雅黑" w:cs="微软雅黑"/>
          <w:b w:val="0"/>
          <w:i w:val="0"/>
          <w:color w:val="6B5B54"/>
          <w:sz w:val="30"/>
        </w:rPr>
        <w:t>模型代码的文件读写约定</w:t>
      </w:r>
    </w:p>
    <w:p>
      <w:pPr>
        <w:pBdr>
          <w:bottom w:val="single" w:sz="12" w:space="2" w:color="D9500F"/>
        </w:pBdr>
        <w:spacing w:before="0" w:after="680" w:line="240" w:lineRule="auto"/>
      </w:pPr>
    </w:p>
    <w:tbl>
      <w:tblPr>
        <w:tblW w:type="auto" w:w="0"/>
        <w:tblBorders>
          <w:top w:val="nil" w:sz="4" w:space="0" w:color="E9DAD2"/>
          <w:left w:val="nil" w:sz="4" w:space="0" w:color="E9DAD2"/>
          <w:bottom w:val="nil" w:sz="4" w:space="0" w:color="E9DAD2"/>
          <w:right w:val="nil" w:sz="4" w:space="0" w:color="E9DAD2"/>
          <w:insideH w:val="nil" w:sz="4" w:space="0" w:color="E9DAD2"/>
          <w:insideV w:val="nil" w:sz="4" w:space="0" w:color="E9DAD2"/>
        </w:tblBorders>
        <w:tblLayout w:type="fixed"/>
        <w:tblCellMar>
          <w:top w:w="55" w:type="dxa"/>
          <w:left w:w="0" w:type="dxa"/>
          <w:bottom w:w="55" w:type="dxa"/>
          <w:right w:w="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V1.0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2026-10-26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TAA 机密计算平台</w:t>
            </w:r>
          </w:p>
        </w:tc>
      </w:tr>
      <w:tr>
        <w:tc>
          <w:tcPr>
            <w:tcW w:type="dxa" w:w="2041"/>
          </w:tcPr>
          <w:p>
            <w:pPr>
              <w:spacing w:before="0" w:after="0"/>
            </w:pPr>
            <w:r>
              <w:rPr>
                <w:rFonts w:ascii="微软雅黑" w:hAnsi="微软雅黑" w:eastAsia="微软雅黑" w:cs="微软雅黑"/>
                <w:b w:val="0"/>
                <w:i w:val="0"/>
                <w:color w:val="9B8A82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20"/>
              </w:rPr>
              <w:t>模型提供方开发人员</w:t>
            </w:r>
          </w:p>
        </w:tc>
      </w:tr>
    </w:tbl>
    <w:p>
      <w:pPr>
        <w:spacing w:before="3000" w:after="80" w:line="240" w:lineRule="auto"/>
      </w:pPr>
      <w:r>
        <w:rPr>
          <w:rFonts w:ascii="微软雅黑" w:hAnsi="微软雅黑" w:eastAsia="微软雅黑" w:cs="微软雅黑"/>
          <w:b/>
          <w:i w:val="0"/>
          <w:color w:val="6B5B54"/>
          <w:sz w:val="22"/>
        </w:rPr>
        <w:t>纽创信安（OSR）</w:t>
      </w:r>
    </w:p>
    <w:p>
      <w:pPr>
        <w:spacing w:before="0" w:after="0" w:line="240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内部资料 · 请勿外传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文档信息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0-1  文档信息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文档名称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模型提供方用户手册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文档版本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发布日期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适用产品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 机密计算平台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读者对象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模型提供方开发人员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编写单位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纽创信安（OSR）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0-2  修订记录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47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版本</w:t>
            </w:r>
          </w:p>
        </w:tc>
        <w:tc>
          <w:tcPr>
            <w:tcW w:type="dxa" w:w="192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日期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修订说明</w:t>
            </w:r>
          </w:p>
        </w:tc>
        <w:tc>
          <w:tcPr>
            <w:tcW w:type="dxa" w:w="136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修订人</w:t>
            </w:r>
          </w:p>
        </w:tc>
      </w:tr>
      <w:tr>
        <w:trPr>
          <w:cantSplit w:val="true"/>
        </w:trPr>
        <w:tc>
          <w:tcPr>
            <w:tcW w:type="dxa" w:w="147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V1.0</w:t>
            </w:r>
          </w:p>
        </w:tc>
        <w:tc>
          <w:tcPr>
            <w:tcW w:type="dxa" w:w="192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2026-10-26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首次发布</w:t>
            </w:r>
          </w:p>
        </w:tc>
        <w:tc>
          <w:tcPr>
            <w:tcW w:type="dxa" w:w="136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黄建业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本手册描述模型代码在 TAA 机密计算平台内的文件读写约定。手册内容与平台版本同步更新，后续修订会记录在上表中。</w:t>
      </w:r>
    </w:p>
    <w:p>
      <w:pPr>
        <w:pageBreakBefore/>
        <w:spacing w:before="0" w:after="0" w:line="240" w:lineRule="auto"/>
      </w:pPr>
    </w:p>
    <w:p>
      <w:pPr>
        <w:keepNext/>
        <w:pBdr>
          <w:bottom w:val="single" w:sz="8" w:space="6" w:color="E9DAD2"/>
        </w:pBdr>
        <w:spacing w:before="0" w:after="280" w:line="288" w:lineRule="auto"/>
      </w:pPr>
      <w:r>
        <w:rPr>
          <w:rFonts w:ascii="微软雅黑" w:hAnsi="微软雅黑" w:eastAsia="微软雅黑" w:cs="微软雅黑"/>
          <w:b/>
          <w:i w:val="0"/>
          <w:color w:val="241B17"/>
          <w:sz w:val="32"/>
        </w:rPr>
        <w:t>目录</w:t>
      </w:r>
    </w:p>
    <w:p>
      <w:pPr>
        <w:spacing w:before="0" w:after="0" w:line="312" w:lineRule="auto"/>
      </w:pPr>
      <w:r>
        <w:fldChar w:fldCharType="begin"/>
      </w:r>
      <w:r>
        <w:instrText xml:space="preserve"> TOC \o "1-2" \h \z \u </w:instrText>
      </w:r>
      <w:r>
        <w:fldChar w:fldCharType="separate"/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1  概述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1.1  编写目的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1.2  适用范围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1.3  读者对象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1.4  术语与缩略语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2  运行环境与目录布局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2.1  TEE 内目录结构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2.2  目录职责与生命周期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2.3  基本约定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3  接入流程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3.1  接入步骤总览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3.2  步骤一：确认输入与输出目录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3.3  步骤二：参数化目录配置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3.4  步骤三：实现三类输出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3.5  步骤四：本地自检并上线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4  写日志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4.1  文件位置与命名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4.4  编写要求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4.5  参考实现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5  上报训练进度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5.1  文件位置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5.2  格式要求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5.3  字段说明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5.4  写入要求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5.5  参考实现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5.6  进度预算建议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6  生成结果汇总文件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6.1  文件位置与生效条件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6.2  文件格式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6.3  采集范围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6.4  写入示例</w:t>
      </w:r>
    </w:p>
    <w:p>
      <w:pPr>
        <w:spacing w:before="0" w:after="40" w:line="336" w:lineRule="auto"/>
        <w:ind w:left="510"/>
      </w:pPr>
      <w:r>
        <w:rPr>
          <w:rFonts w:ascii="Calibri" w:hAnsi="Calibri" w:eastAsia="宋体" w:cs="Calibri"/>
          <w:b w:val="0"/>
          <w:i w:val="0"/>
          <w:color w:val="6B5B54"/>
          <w:sz w:val="20"/>
        </w:rPr>
        <w:t>6.5  失败路径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7  禁止事项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8  常见问题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9  上线前检查清单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A  关键路径速查</w:t>
      </w:r>
    </w:p>
    <w:p>
      <w:pPr>
        <w:spacing w:before="40" w:after="40" w:line="336" w:lineRule="auto"/>
        <w:ind w:left="0"/>
      </w:pPr>
      <w:r>
        <w:rPr>
          <w:rFonts w:ascii="微软雅黑" w:hAnsi="微软雅黑" w:eastAsia="微软雅黑" w:cs="微软雅黑"/>
          <w:b/>
          <w:i w:val="0"/>
          <w:color w:val="241B17"/>
          <w:sz w:val="21"/>
        </w:rPr>
        <w:t>附录 B  端到端示例</w:t>
      </w:r>
    </w:p>
    <w:p>
      <w:pPr>
        <w:spacing w:before="0" w:after="0" w:line="312" w:lineRule="auto"/>
      </w:pPr>
      <w:r>
        <w:fldChar w:fldCharType="end"/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1  概述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1.1  编写目的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本手册面向接入 TAA 机密计算平台的模型提供方，说明模型代码在 TEE（可信执行环境）内应如何读取输入、写出日志、上报训练进度并生成结果汇总文件。按本手册改造后的代码不调用任何网络接口，也不需要引入专有依赖，在普通环境下同样可以运行。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1.2  适用范围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本手册适用于在 TAA 内执行的训练任务与推理任务。手册只覆盖文件读写约定；代码审计红线、任务阶段划分与产物导出口径不在本手册范围内。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1.3  读者对象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负责模型训练或推理代码开发、需要将代码接入 TAA 的工程人员。读者应熟悉 Linux 文件操作与 JSON 格式，并具备 Python 编程能力。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1.4  术语与缩略语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1-1  术语说明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术语</w:t>
            </w:r>
          </w:p>
        </w:tc>
        <w:tc>
          <w:tcPr>
            <w:tcW w:type="dxa" w:w="759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TAA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Application Agent，可信应用代理；模型训练与推理的机密计算平台，模型代码在其中的 TEE 内执行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TEE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Trusted Execution Environment，可信执行环境；宿主无法读取或篡改其中的内存与文件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输入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平台提供、模型只读的数据，位于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产物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需要导出的输出文件，位于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，任务结束后统一导出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旁路文件</w:t>
            </w:r>
          </w:p>
        </w:tc>
        <w:tc>
          <w:tcPr>
            <w:tcW w:type="dxa" w:w="759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日志与进度文件，用于展示运行状态，不随任务导出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文中「注意」框表示必须遵守的限制，「提示」框给出建议做法；代码示例可直接复制使用。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2  运行环境与目录布局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2.1  TEE 内目录结构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TEE 内固定提供以下目录，模型代码只与它们打交道。输入目录的内容按模型实际需要而定，由平台在任务开始时准备。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2-1  目录结构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76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442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角色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只读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可写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result/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 · 唯一会被导出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weights/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├── training_result.json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test_result.xlsx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├── log/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平台据此展示训练过程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│   └── train.jsonl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每行一条 JSON 日志，可拆成多个文件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└── progress/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旁路 · 不导出 · 平台据此显示进度条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 xml:space="preserve">        └── progress.json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文件名固定，进度写在其中</w:t>
            </w:r>
          </w:p>
        </w:tc>
      </w:tr>
      <w:tr>
        <w:trPr>
          <w:cantSplit w:val="true"/>
        </w:trPr>
        <w:tc>
          <w:tcPr>
            <w:tcW w:type="dxa" w:w="476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4422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你的源码 · 进程工作目录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weights/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、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test_result.xlsx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是示例，按实际交付内容替换。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2.2  目录职责与生命周期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2-2  目录职责与生命周期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28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目录</w:t>
            </w:r>
          </w:p>
        </w:tc>
        <w:tc>
          <w:tcPr>
            <w:tcW w:type="dxa" w:w="226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用途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是否导出</w:t>
            </w:r>
          </w:p>
        </w:tc>
        <w:tc>
          <w:tcPr>
            <w:tcW w:type="dxa" w:w="294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生命周期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/opt/taa/input/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模型只读的输入数据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任务开始时由平台准备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/opt/taa/output/result/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是（唯一）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任务开始时创建；进程以 0 退出后收集并导出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/opt/taa/output/log/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每次任务开始前清空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/opt/taa/output/progress/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进度文件所在目录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进度文件在每次任务开始前删除</w:t>
            </w:r>
          </w:p>
        </w:tc>
      </w:tr>
      <w:tr>
        <w:trPr>
          <w:cantSplit w:val="true"/>
        </w:trPr>
        <w:tc>
          <w:tcPr>
            <w:tcW w:type="dxa" w:w="2835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/opt/taa/models/</w:t>
            </w:r>
          </w:p>
        </w:tc>
        <w:tc>
          <w:tcPr>
            <w:tcW w:type="dxa" w:w="226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模型源码，进程工作目录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294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任务开始时提供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2.3  基本约定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接入前请先确认以下三条约定，它们贯穿全文：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1)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输入目录只读。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不得在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下创建、修改或删除任何文件，包括缓存与临时文件。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2)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产物集中在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只是旁路通道；需要交付的文件一律放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spacing w:before="0" w:after="60" w:line="348" w:lineRule="auto"/>
        <w:ind w:left="624" w:hanging="351"/>
        <w:jc w:val="both"/>
      </w:pPr>
      <w:r>
        <w:rPr>
          <w:rFonts w:ascii="Calibri" w:hAnsi="Calibri" w:eastAsia="宋体" w:cs="Calibri"/>
          <w:b/>
          <w:i w:val="0"/>
          <w:color w:val="D9500F"/>
          <w:sz w:val="21"/>
        </w:rPr>
        <w:t xml:space="preserve">3)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不要写相对路径。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进程的工作目录是源码目录，相对路径会落到代码目录而不是产物目录。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3  接入流程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3.1  接入步骤总览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把一份已有代码接入 TAA，通常按以下五步完成：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3-1  接入步骤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02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步骤</w:t>
            </w:r>
          </w:p>
        </w:tc>
        <w:tc>
          <w:tcPr>
            <w:tcW w:type="dxa" w:w="54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  <w:tc>
          <w:tcPr>
            <w:tcW w:type="dxa" w:w="272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参见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1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确认输入与输出目录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2.1、2.2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2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参数化目录配置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3.3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实现日志与进度输出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4 章、第 5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4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写出结果汇总文件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第 6 章</w:t>
            </w:r>
          </w:p>
        </w:tc>
      </w:tr>
      <w:tr>
        <w:trPr>
          <w:cantSplit w:val="true"/>
        </w:trPr>
        <w:tc>
          <w:tcPr>
            <w:tcW w:type="dxa" w:w="102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5</w:t>
            </w:r>
          </w:p>
        </w:tc>
        <w:tc>
          <w:tcPr>
            <w:tcW w:type="dxa" w:w="54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本地自检并上线</w:t>
            </w:r>
          </w:p>
        </w:tc>
        <w:tc>
          <w:tcPr>
            <w:tcW w:type="dxa" w:w="2721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3.5、第 9 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3.2  步骤一：确认输入与输出目录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先确认代码读取什么、产出什么。所有读取只应发生在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下；所有需要交付的文件只应写到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3.3  步骤二：参数化目录配置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建议把三个目录写成模块级常量，并允许用环境变量覆盖，这样同一份代码在本地调试与 TEE 内运行可以使用不同路径：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3-1  目录常量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"TAA_INPUT_DIR"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environ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get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"TAA_OUTPUT_DIR"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3.4  步骤三：实现三类输出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日志、进度与结果汇总文件的作用不同，实现方式也不同：日志用于展示运行过程，按行追加；进度用于驱动平台上的进度条，需要原子写入且单调不回退；结果汇总文件在任务结束时写出，被合并进最终报告。三类输出的格式分别见第 4、5、6 章。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3.5  步骤四：本地自检并上线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改造完成后，先在普通环境用临时目录完整跑一遍，确认三个文件都按预期生成、内容可以正常解析；随后按第 9 章的检查清单逐项确认，再提交上线。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4  写日志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4.1  文件位置与命名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下。目录下的所有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文件都会被读取，可以按阶段拆成多个文件。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4.2  格式要求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每行一个 JSON 对象，追加写入：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3/150 finished - loss: 0.3821"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4-1  日志字段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message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日志正文，也接受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msg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RFC3339 时间戳，也接受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time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；写入后显示为日志前缀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未识别的字段会被忽略，可以按需增加。也接受不含 JSON 的纯文本行。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4.4  编写要求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每行以换行符结尾。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没有换行的尾部（包括正在写入的半行）不会被读取，直到换行符落盘为止。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只追加，不覆盖、不回退。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文件如果变小（被截断重写），会被当作新文件从头读取，导致日志重复。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4.5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4-1  日志写入参考实现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"train.log"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filename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"a"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"message"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不 flush，日志会滞留在缓冲区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print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message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同时输出到控制台，便于本地调试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_file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每次任务开始前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log/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目录会被清空。不要依赖上一次运行留下的文件，每次运行重新创建。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5  上报训练进度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5.1  文件位置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。注意这是一个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文件路径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，不是目录，文件名固定为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5.2  格式要求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34.6525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"2026-10-12T07:15:32.123456Z"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5.3  字段说明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5-1  进度字段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3061"/>
        <w:gridCol w:w="3061"/>
        <w:gridCol w:w="3061"/>
      </w:tblGrid>
      <w:tr>
        <w:trPr>
          <w:tblHeader w:val="true"/>
          <w:cantSplit w:val="true"/>
        </w:trPr>
        <w:tc>
          <w:tcPr>
            <w:tcW w:type="dxa" w:w="170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字段</w:t>
            </w:r>
          </w:p>
        </w:tc>
        <w:tc>
          <w:tcPr>
            <w:tcW w:type="dxa" w:w="1134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必填</w:t>
            </w:r>
          </w:p>
        </w:tc>
        <w:tc>
          <w:tcPr>
            <w:tcW w:type="dxa" w:w="6350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percent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是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0.0 – 100.0，也接受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percentage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。越界、非数字或整个文件不是 JSON 对象都会被忽略，进度停在原处</w:t>
            </w:r>
          </w:p>
        </w:tc>
      </w:tr>
      <w:tr>
        <w:trPr>
          <w:cantSplit w:val="true"/>
        </w:trPr>
        <w:tc>
          <w:tcPr>
            <w:tcW w:type="dxa" w:w="170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timestamp</w:t>
            </w:r>
          </w:p>
        </w:tc>
        <w:tc>
          <w:tcPr>
            <w:tcW w:type="dxa" w:w="1134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否</w:t>
            </w:r>
          </w:p>
        </w:tc>
        <w:tc>
          <w:tcPr>
            <w:tcW w:type="dxa" w:w="6350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RFC3339 / RFC3339Nano UTC，建议带微秒。缺失或格式非法时使用文件修改时间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整个文件只会被读取这两个字段，其余字段一律忽略：写了不报错，但不会展示、也不会被使用。进度之外的信息请写进日志。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5.4  写入要求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进度文件会被频繁读取，必须保证任何时刻读到的都是完整内容：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01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原子写入。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先写临时文件，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fsync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后再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os.replace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覆盖目标文件。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02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单调不回退。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新值不得小于已写入的值，避免进度条跳回。</w:t>
      </w:r>
    </w:p>
    <w:p>
      <w:pPr>
        <w:spacing w:before="0" w:after="100" w:line="348" w:lineRule="auto"/>
        <w:ind w:left="652" w:hanging="351"/>
        <w:jc w:val="both"/>
      </w:pPr>
      <w:r>
        <w:rPr>
          <w:rFonts w:ascii="Consolas" w:hAnsi="Consolas" w:eastAsia="宋体" w:cs="Consolas"/>
          <w:b/>
          <w:i w:val="0"/>
          <w:color w:val="D9500F"/>
          <w:sz w:val="18"/>
        </w:rPr>
        <w:t xml:space="preserve">03  </w:t>
      </w:r>
      <w:r>
        <w:rPr>
          <w:rFonts w:ascii="Calibri" w:hAnsi="Calibri" w:eastAsia="宋体" w:cs="Calibri"/>
          <w:b/>
          <w:i w:val="0"/>
          <w:color w:val="241B17"/>
          <w:sz w:val="21"/>
        </w:rPr>
        <w:t>限频写入。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建议最小间隔 0.2 秒，且百分比变化小于 0.0001 时跳过。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5.5  参考实现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5-1  进度写入参考实现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class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__init__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0.0001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with_suffix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suffix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".tmp"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mkdir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parents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exist_ok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-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-&gt;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bool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round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float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),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4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max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单调不回退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not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&gt;=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()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elapsed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min_interval_seconds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and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abs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-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&lt;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min_percent_delta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"percent"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"timestamp"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datetime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now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timezone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utc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strftime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"%Y-%m-%dT%H:%M:%S.%fZ"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payload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flush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fsync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fileno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replace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tmp_path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原子替换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_last_percent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percent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self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_last_write_time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time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return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5.6  进度预算建议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可按任务调整，原则是初始化与收尾都要覆盖，长循环中间要有细粒度变化。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5-2  建议的进度预算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041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区间</w:t>
            </w:r>
          </w:p>
        </w:tc>
        <w:tc>
          <w:tcPr>
            <w:tcW w:type="dxa" w:w="7143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内容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0% – 2%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参数解析、模型构建、损失与优化器、DataLoader 就绪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2% – 96%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按 epoch 均分；epoch 内按 batch 平滑插值；每 epoch 开始、25%、50%、75%、收尾各强制写一次</w:t>
            </w:r>
          </w:p>
        </w:tc>
      </w:tr>
      <w:tr>
        <w:trPr>
          <w:cantSplit w:val="true"/>
        </w:trPr>
        <w:tc>
          <w:tcPr>
            <w:tcW w:type="dxa" w:w="2041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96% – 100%</w:t>
            </w:r>
          </w:p>
        </w:tc>
        <w:tc>
          <w:tcPr>
            <w:tcW w:type="dxa" w:w="7143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指标汇总、写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training_result.json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、完成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tbl>
      <w:tblPr>
        <w:tblW w:type="auto" w:w="0"/>
        <w:jc w:val="left"/>
        <w:tblLayout w:type="fixed"/>
        <w:tblLayout w:type="fixed"/>
        <w:tblLook w:firstColumn="1" w:firstRow="1" w:lastColumn="0" w:lastRow="0" w:noHBand="0" w:noVBand="1" w:val="04A0"/>
      </w:tblPr>
      <w:tblGrid>
        <w:gridCol w:w="9184"/>
      </w:tblGrid>
      <w:tr>
        <w:tc>
          <w:tcPr>
            <w:tcW w:type="dxa" w:w="9184"/>
            <w:tcBorders>
              <w:left w:val="single" w:sz="18" w:space="0" w:color="8A5A0B"/>
            </w:tcBorders>
            <w:shd w:val="clear" w:color="auto" w:fill="FCF1DC"/>
            <w:tcMar>
              <w:top w:w="90" w:type="dxa"/>
              <w:left w:w="140" w:type="dxa"/>
              <w:bottom w:w="90" w:type="dxa"/>
              <w:right w:w="140" w:type="dxa"/>
            </w:tcMar>
          </w:tcPr>
          <w:p>
            <w:pPr>
              <w:spacing w:before="0" w:after="0" w:line="336" w:lineRule="auto"/>
              <w:jc w:val="both"/>
            </w:pPr>
            <w:r>
              <w:rPr>
                <w:rFonts w:ascii="微软雅黑" w:hAnsi="微软雅黑" w:eastAsia="微软雅黑" w:cs="微软雅黑"/>
                <w:b/>
                <w:i w:val="0"/>
                <w:color w:val="8A5A0B"/>
                <w:sz w:val="19"/>
              </w:rPr>
              <w:t>注意：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每次任务开始前进度文件会被删除。若进度长时间不动，平台侧看到的进度条也会停住。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6  生成结果汇总文件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6.1  文件位置与生效条件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结果汇总文件位于产物目录根部，即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。进程以退出码 0 结束后，该文件会被读取，并与审计信息、数据校验和合并成最终报告。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只有 </w:t>
      </w:r>
      <w:r>
        <w:rPr>
          <w:rFonts w:ascii="Consolas" w:hAnsi="Consolas" w:eastAsia="宋体" w:cs="Consolas"/>
          <w:b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/>
          <w:i w:val="0"/>
          <w:color w:val="241B17"/>
          <w:sz w:val="21"/>
        </w:rPr>
        <w:t xml:space="preserve"> 里的产物会被导出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；进程非 0 退出时产物不会被收集。</w:t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6.2  文件格式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json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"final_auc"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0.9810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"final_f1"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0.9380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[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0.6500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0.8100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0.4200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"epoch"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3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"accuracy"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0.9425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0.1352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]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"splits"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"train"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"test"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2500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}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6.3  采集范围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6-1  被采集的内容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位置</w:t>
            </w:r>
          </w:p>
        </w:tc>
        <w:tc>
          <w:tcPr>
            <w:tcW w:type="dxa" w:w="6576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说明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training_task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训练任务信息，其中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metrics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为训练指标，键名自定，原样并入报告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dataset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数据集规模，常用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total_samples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与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splits</w:t>
            </w:r>
          </w:p>
        </w:tc>
      </w:tr>
      <w:tr>
        <w:trPr>
          <w:cantSplit w:val="true"/>
        </w:trPr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7"/>
              </w:rPr>
              <w:t>其他键</w:t>
            </w:r>
          </w:p>
        </w:tc>
        <w:tc>
          <w:tcPr>
            <w:tcW w:type="dxa" w:w="6576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不会进入报告，可以自由增加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6.4  写入示例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6-1  写出结果汇总文件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with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open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"w"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as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training_result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2"/>
        <w:keepNext/>
        <w:spacing w:before="280" w:after="120"/>
      </w:pPr>
      <w:r>
        <w:rPr>
          <w:rFonts w:ascii="微软雅黑" w:hAnsi="微软雅黑" w:eastAsia="微软雅黑" w:cs="微软雅黑"/>
          <w:b/>
          <w:i w:val="0"/>
          <w:color w:val="A8261B"/>
          <w:sz w:val="27"/>
        </w:rPr>
        <w:t>6.5  失败路径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文件缺失不会导致任务失败，但报告里就没有对应指标。建议在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finally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中写出该文件，使异常退出时也能留下可用的指标；进程非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不会被导出，此时以日志与进度为准。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7  禁止事项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以下行为会导致导出被拒绝或审计结论不通过，接入前请逐项核对：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7-1  禁止事项与后果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4592"/>
        <w:gridCol w:w="4592"/>
      </w:tblGrid>
      <w:tr>
        <w:trPr>
          <w:tblHeader w:val="true"/>
          <w:cantSplit w:val="true"/>
        </w:trPr>
        <w:tc>
          <w:tcPr>
            <w:tcW w:type="dxa" w:w="4649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行为</w:t>
            </w:r>
          </w:p>
        </w:tc>
        <w:tc>
          <w:tcPr>
            <w:tcW w:type="dxa" w:w="4535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后果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在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/opt/taa/input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下创建、修改、删除文件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违反 TEE 内只读约束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把输入数据原样拷进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result/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（原始图片、CSV、标注文件）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导出前的反泄露检查会比对数据特征，命中即</w:t>
            </w:r>
            <w:r>
              <w:rPr>
                <w:rFonts w:ascii="Calibri" w:hAnsi="Calibri" w:eastAsia="宋体" w:cs="Calibri"/>
                <w:b/>
                <w:i w:val="0"/>
                <w:color w:val="241B17"/>
                <w:sz w:val="19"/>
              </w:rPr>
              <w:t>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在产物中写入明文 PEM 私钥、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SECRET_KEY=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API_KEY=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等环境变量转储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同上，命中明文特征即拒绝导出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任何网络外联（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socket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requests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urllib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httpx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aiohttp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代码审计红线，审计结论将判为未通过并上报平台（结论仅供参考，由平台侧处置）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反弹 Shell、提权、危险系统调用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同上</w:t>
            </w:r>
          </w:p>
        </w:tc>
      </w:tr>
      <w:tr>
        <w:trPr>
          <w:cantSplit w:val="true"/>
        </w:trPr>
        <w:tc>
          <w:tcPr>
            <w:tcW w:type="dxa" w:w="4649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单次产物超过大小上限（默认 3 GB）</w:t>
            </w:r>
          </w:p>
        </w:tc>
        <w:tc>
          <w:tcPr>
            <w:tcW w:type="dxa" w:w="4535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导出被拒绝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8  常见问题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8.1  代码在普通环境调试时也要写这些文件吗？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建议保持一致。用 3.3 节的环境变量把目录指向本地临时目录即可，读写方式与 TEE 内完全相同，便于提前发现格式问题。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8.2  日志可以直接打印到标准输出吗？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可以用于本地调试，但平台只读取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目录下的文件。正式运行必须把日志落到文件，同时打印到控制台不影响使用。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8.3  一次运行写了多个日志文件会怎样？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目录下所有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*.jsonl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*.log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都会被读取，可以按阶段拆分文件。但不要重写或截断已经写过的内容，否则会被当作新文件重新读取。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>8.4  进度长时间不动会怎样？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平台显示的进度会停在最后一次成功读取的值。进度文件被删除、内容非法或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越界时，同样停留在原处。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8.5  训练中途失败，还要写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training_result.json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应在退出前尽量写出。进程非 0 退出时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不会被导出，但保留该文件便于排查；失败信息同时写进日志与进度，平台侧才能看到。</w:t>
      </w:r>
    </w:p>
    <w:p>
      <w:pPr>
        <w:pStyle w:val="Heading3"/>
        <w:keepNext/>
        <w:spacing w:before="200" w:after="80"/>
      </w:pP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8.6  可以把中间 checkpoint 写在 </w:t>
      </w:r>
      <w:r>
        <w:rPr>
          <w:rFonts w:ascii="Consolas" w:hAnsi="Consolas" w:eastAsia="微软雅黑" w:cs="Consolas"/>
          <w:b/>
          <w:i w:val="0"/>
          <w:color w:val="A8261B"/>
          <w:sz w:val="21"/>
        </w:rPr>
        <w:t>result/</w:t>
      </w:r>
      <w:r>
        <w:rPr>
          <w:rFonts w:ascii="微软雅黑" w:hAnsi="微软雅黑" w:eastAsia="微软雅黑" w:cs="微软雅黑"/>
          <w:b/>
          <w:i w:val="0"/>
          <w:color w:val="241B17"/>
          <w:sz w:val="22"/>
        </w:rPr>
        <w:t xml:space="preserve"> 下吗？</w:t>
      </w:r>
    </w:p>
    <w:p>
      <w:pPr>
        <w:spacing w:before="0" w:after="12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可以，但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下的文件都会被导出，且单个产物受大小上限（默认 3 GB）限制。只放需要交付的文件，中间产物写到别处或不保留。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9  上线前检查清单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提交上线前，请逐项确认以下内容：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输入目录只读，代码中没有任何指向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/opt/taa/input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的写操作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所有需要交付导出的文件都写在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下，没有散落在别处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路径按绝对路径书写，没有写成相对路径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日志写在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/opt/taa/output/log/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，每行以换行符结尾，只追加不重写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进度原子写入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/opt/taa/output/progress/progress.json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percent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在 0–100 之间且单调不回退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结束前写出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/opt/taa/output/result/training_result.json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，含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training_task.metrics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与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dataset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失败路径同样写出 </w:t>
      </w:r>
      <w:r>
        <w:rPr>
          <w:rFonts w:ascii="Consolas" w:hAnsi="Consolas" w:eastAsia="宋体" w:cs="Consolas"/>
          <w:b w:val="0"/>
          <w:i w:val="0"/>
          <w:color w:val="A8261B"/>
          <w:sz w:val="20"/>
        </w:rPr>
        <w:t>training_result.json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，或至少保证日志与进度可用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产物中没有原始数据副本、密钥、环境变量转储</w:t>
      </w:r>
    </w:p>
    <w:p>
      <w:pPr>
        <w:spacing w:before="0" w:after="140" w:line="348" w:lineRule="auto"/>
        <w:ind w:left="624" w:hanging="408"/>
        <w:jc w:val="both"/>
      </w:pPr>
      <w:r>
        <w:rPr>
          <w:rFonts w:ascii="Segoe UI Symbol" w:hAnsi="Segoe UI Symbol" w:eastAsia="Segoe UI Symbol" w:cs="Segoe UI Symbol"/>
          <w:b w:val="0"/>
          <w:i w:val="0"/>
          <w:color w:val="6B5B54"/>
          <w:sz w:val="22"/>
        </w:rPr>
        <w:t>☐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 xml:space="preserve">  </w:t>
      </w:r>
      <w:r>
        <w:rPr>
          <w:rFonts w:ascii="Calibri" w:hAnsi="Calibri" w:eastAsia="宋体" w:cs="Calibri"/>
          <w:b w:val="0"/>
          <w:i w:val="0"/>
          <w:color w:val="241B17"/>
          <w:sz w:val="21"/>
        </w:rPr>
        <w:t>代码中不存在任何网络调用</w:t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A  关键路径速查</w:t>
      </w:r>
    </w:p>
    <w:p>
      <w:pPr>
        <w:keepNext/>
        <w:spacing w:before="20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表 A-1  关键路径与格式</w:t>
      </w:r>
    </w:p>
    <w:tbl>
      <w:tblPr>
        <w:tblW w:type="auto" w:w="0"/>
        <w:jc w:val="left"/>
        <w:tblBorders>
          <w:top w:val="single" w:sz="4" w:space="0" w:color="DDC8BE"/>
          <w:left w:val="single" w:sz="4" w:space="0" w:color="DDC8BE"/>
          <w:bottom w:val="single" w:sz="4" w:space="0" w:color="DDC8BE"/>
          <w:right w:val="single" w:sz="4" w:space="0" w:color="DDC8BE"/>
          <w:insideH w:val="single" w:sz="4" w:space="0" w:color="E9DAD2"/>
          <w:insideV w:val="single" w:sz="4" w:space="0" w:color="E9DAD2"/>
        </w:tblBorders>
        <w:tblLayout w:type="fixed"/>
        <w:tblLayout w:type="fixed"/>
        <w:tblCellMar>
          <w:top w:w="70" w:type="dxa"/>
          <w:left w:w="120" w:type="dxa"/>
          <w:bottom w:w="70" w:type="dxa"/>
          <w:right w:w="120" w:type="dxa"/>
        </w:tblCellMar>
        <w:tblLook w:firstColumn="1" w:firstRow="1" w:lastColumn="0" w:lastRow="0" w:noHBand="0" w:noVBand="1" w:val="04A0"/>
      </w:tblPr>
      <w:tblGrid>
        <w:gridCol w:w="2296"/>
        <w:gridCol w:w="2296"/>
        <w:gridCol w:w="2296"/>
        <w:gridCol w:w="2296"/>
      </w:tblGrid>
      <w:tr>
        <w:trPr>
          <w:tblHeader w:val="true"/>
          <w:cantSplit w:val="true"/>
        </w:trPr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项目</w:t>
            </w:r>
          </w:p>
        </w:tc>
        <w:tc>
          <w:tcPr>
            <w:tcW w:type="dxa" w:w="3402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路径</w:t>
            </w:r>
          </w:p>
        </w:tc>
        <w:tc>
          <w:tcPr>
            <w:tcW w:type="dxa" w:w="2608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格式</w:t>
            </w:r>
          </w:p>
        </w:tc>
        <w:tc>
          <w:tcPr>
            <w:tcW w:type="dxa" w:w="1587"/>
            <w:shd w:val="clear" w:color="auto" w:fill="FBEDE5"/>
          </w:tcPr>
          <w:p>
            <w:pPr>
              <w:spacing w:before="0" w:after="0" w:line="300" w:lineRule="auto"/>
            </w:pPr>
            <w:r>
              <w:rPr>
                <w:rFonts w:ascii="微软雅黑" w:hAnsi="微软雅黑" w:eastAsia="微软雅黑" w:cs="微软雅黑"/>
                <w:b/>
                <w:i w:val="0"/>
                <w:color w:val="6B5B54"/>
                <w:sz w:val="18"/>
              </w:rPr>
              <w:t>备注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运行日志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/opt/taa/output/log/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*.jsonl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*.log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，每行一个 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训练进度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/opt/taa/output/progress/progress.json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对象，</w:t>
            </w: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percent</w:t>
            </w: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 xml:space="preserve"> 为 0–100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建议写，不导出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结果汇总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/opt/taa/output/result/training_result.json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JSON 对象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建议写，并入最终报告</w:t>
            </w:r>
          </w:p>
        </w:tc>
      </w:tr>
      <w:tr>
        <w:trPr>
          <w:cantSplit w:val="true"/>
        </w:trPr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交付产物</w:t>
            </w:r>
          </w:p>
        </w:tc>
        <w:tc>
          <w:tcPr>
            <w:tcW w:type="dxa" w:w="3402"/>
          </w:tcPr>
          <w:p>
            <w:pPr>
              <w:spacing w:before="0" w:after="0" w:line="312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A8261B"/>
                <w:sz w:val="18"/>
              </w:rPr>
              <w:t>/opt/taa/output/result/</w:t>
            </w:r>
          </w:p>
        </w:tc>
        <w:tc>
          <w:tcPr>
            <w:tcW w:type="dxa" w:w="2608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任意文件，单个不超过 3 GB</w:t>
            </w:r>
          </w:p>
        </w:tc>
        <w:tc>
          <w:tcPr>
            <w:tcW w:type="dxa" w:w="1587"/>
          </w:tcPr>
          <w:p>
            <w:pPr>
              <w:spacing w:before="0" w:after="0" w:line="312" w:lineRule="auto"/>
            </w:pPr>
            <w:r>
              <w:rPr>
                <w:rFonts w:ascii="Calibri" w:hAnsi="Calibri" w:eastAsia="宋体" w:cs="Calibri"/>
                <w:b w:val="0"/>
                <w:i w:val="0"/>
                <w:color w:val="241B17"/>
                <w:sz w:val="19"/>
              </w:rPr>
              <w:t>会被导出，注意体积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p>
      <w:pPr>
        <w:pStyle w:val="Heading1"/>
        <w:keepNext/>
        <w:pageBreakBefore/>
        <w:spacing w:before="400" w:after="200"/>
      </w:pPr>
      <w:r>
        <w:rPr>
          <w:rFonts w:ascii="微软雅黑" w:hAnsi="微软雅黑" w:eastAsia="微软雅黑" w:cs="微软雅黑"/>
          <w:b/>
          <w:i w:val="0"/>
          <w:color w:val="241B17"/>
          <w:sz w:val="36"/>
        </w:rPr>
        <w:t>附录 B  端到端示例</w:t>
      </w:r>
    </w:p>
    <w:p>
      <w:pPr>
        <w:spacing w:before="0" w:after="160" w:line="360" w:lineRule="auto"/>
        <w:ind w:firstLine="420"/>
        <w:jc w:val="both"/>
      </w:pPr>
      <w:r>
        <w:rPr>
          <w:rFonts w:ascii="Calibri" w:hAnsi="Calibri" w:eastAsia="宋体" w:cs="Calibri"/>
          <w:b w:val="0"/>
          <w:i w:val="0"/>
          <w:color w:val="241B17"/>
          <w:sz w:val="21"/>
        </w:rPr>
        <w:t>下面的骨架把三类输出串在一起，可作为改造既有代码的起点：</w:t>
      </w:r>
    </w:p>
    <w:p>
      <w:pPr>
        <w:keepNext/>
        <w:spacing w:before="160" w:after="60" w:line="288" w:lineRule="auto"/>
      </w:pPr>
      <w:r>
        <w:rPr>
          <w:rFonts w:ascii="微软雅黑" w:hAnsi="微软雅黑" w:eastAsia="微软雅黑" w:cs="微软雅黑"/>
          <w:b w:val="0"/>
          <w:i w:val="0"/>
          <w:color w:val="9B8A82"/>
          <w:sz w:val="18"/>
        </w:rPr>
        <w:t>示例 B-1  端到端骨架</w:t>
      </w:r>
    </w:p>
    <w:tbl>
      <w:tblPr>
        <w:tblW w:type="auto" w:w="0"/>
        <w:jc w:val="left"/>
        <w:tblBorders>
          <w:top w:val="single" w:sz="4" w:space="0" w:color="3A2F2A"/>
          <w:left w:val="single" w:sz="4" w:space="0" w:color="3A2F2A"/>
          <w:bottom w:val="single" w:sz="4" w:space="0" w:color="3A2F2A"/>
          <w:right w:val="single" w:sz="4" w:space="0" w:color="3A2F2A"/>
          <w:insideH w:val="nil" w:sz="4" w:space="0" w:color="3A2F2A"/>
          <w:insideV w:val="nil" w:sz="4" w:space="0" w:color="3A2F2A"/>
        </w:tblBorders>
        <w:tblLayout w:type="fixed"/>
        <w:tblLayout w:type="fixed"/>
        <w:tblCellMar>
          <w:top w:w="45" w:type="dxa"/>
          <w:left w:w="170" w:type="dxa"/>
          <w:bottom w:w="45" w:type="dxa"/>
          <w:right w:w="170" w:type="dxa"/>
        </w:tblCellMar>
        <w:tblLook w:firstColumn="1" w:firstRow="1" w:lastColumn="0" w:lastRow="0" w:noHBand="0" w:noVBand="1" w:val="04A0"/>
      </w:tblPr>
      <w:tblGrid>
        <w:gridCol w:w="9184"/>
      </w:tblGrid>
      <w:tr>
        <w:trPr>
          <w:cantSplit w:val="true"/>
        </w:trPr>
        <w:tc>
          <w:tcPr>
            <w:tcW w:type="dxa" w:w="9184"/>
            <w:shd w:val="clear" w:color="auto" w:fill="2C2320"/>
          </w:tcPr>
          <w:p>
            <w:pPr>
              <w:spacing w:before="0" w:after="20" w:line="240" w:lineRule="auto"/>
            </w:pPr>
            <w:r>
              <w:rPr>
                <w:rFonts w:ascii="Consolas" w:hAnsi="Consolas" w:eastAsia="宋体" w:cs="Consolas"/>
                <w:b w:val="0"/>
                <w:i w:val="0"/>
                <w:color w:val="E5533D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E0A33E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2C2320"/>
                <w:sz w:val="15"/>
              </w:rPr>
              <w:t xml:space="preserve">  </w:t>
            </w:r>
            <w:r>
              <w:rPr>
                <w:rFonts w:ascii="Consolas" w:hAnsi="Consolas" w:eastAsia="宋体" w:cs="Consolas"/>
                <w:b w:val="0"/>
                <w:i w:val="0"/>
                <w:color w:val="55A868"/>
                <w:sz w:val="15"/>
              </w:rPr>
              <w:t>●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5"/>
              </w:rPr>
              <w:t xml:space="preserve">    python</w:t>
            </w:r>
          </w:p>
        </w:tc>
      </w:tr>
      <w:tr>
        <w:tc>
          <w:tcPr>
            <w:tcW w:type="dxa" w:w="9184"/>
            <w:shd w:val="clear" w:color="auto" w:fill="1E1A17"/>
          </w:tcPr>
          <w:p>
            <w:pPr>
              <w:spacing w:before="4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from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pathlib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import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"/opt/taa/input"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Path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"/opt/taa/output"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"result"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"log"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OUTPUT_DIR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"progress.json"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 xml:space="preserve"> 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def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79B8CE"/>
                <w:sz w:val="17"/>
              </w:rPr>
              <w:t>train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150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ProgressTracker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build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INPUT_DIR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                </w:t>
            </w:r>
            <w:r>
              <w:rPr>
                <w:rFonts w:ascii="Consolas" w:hAnsi="Consolas" w:eastAsia="宋体" w:cs="Consolas"/>
                <w:b w:val="0"/>
                <w:i/>
                <w:color w:val="8B8079"/>
                <w:sz w:val="17"/>
              </w:rPr>
              <w:t># 只读输入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for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in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range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):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run_epoch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model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"[Train] Epoch %d/%d finished - loss: %.4f"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     %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+ 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94.0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*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epochs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=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"training_task"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"metrics"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"final_loss"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}},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     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"dataset"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 {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"total_samples"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: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len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loader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dataset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)}}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RESULT_DIR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/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"training_result.json"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write_text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json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dumps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report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indent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2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ensure_ascii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False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) + 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"\n"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encoding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9DC97F"/>
                <w:sz w:val="17"/>
              </w:rPr>
              <w:t>"utf-8"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progress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update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</w:t>
            </w:r>
            <w:r>
              <w:rPr>
                <w:rFonts w:ascii="Consolas" w:hAnsi="Consolas" w:eastAsia="宋体" w:cs="Consolas"/>
                <w:b w:val="0"/>
                <w:i w:val="0"/>
                <w:color w:val="D8B26A"/>
                <w:sz w:val="17"/>
              </w:rPr>
              <w:t>100.0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,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force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=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True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)</w:t>
            </w:r>
          </w:p>
          <w:p>
            <w:pPr>
              <w:spacing w:before="0" w:after="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</w:t>
            </w:r>
            <w:r>
              <w:rPr>
                <w:rFonts w:ascii="Consolas" w:hAnsi="Consolas" w:eastAsia="宋体" w:cs="Consolas"/>
                <w:b w:val="0"/>
                <w:i w:val="0"/>
                <w:color w:val="E58E4E"/>
                <w:sz w:val="17"/>
              </w:rPr>
              <w:t>finally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:</w:t>
            </w:r>
          </w:p>
          <w:p>
            <w:pPr>
              <w:spacing w:before="0" w:after="40" w:line="278" w:lineRule="auto"/>
              <w:ind w:left="0"/>
            </w:pP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 xml:space="preserve">        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logger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.</w:t>
            </w:r>
            <w:r>
              <w:rPr>
                <w:rFonts w:ascii="Consolas" w:hAnsi="Consolas" w:eastAsia="宋体" w:cs="Consolas"/>
                <w:b w:val="0"/>
                <w:i w:val="0"/>
                <w:color w:val="E6E0DA"/>
                <w:sz w:val="17"/>
              </w:rPr>
              <w:t>close</w:t>
            </w:r>
            <w:r>
              <w:rPr>
                <w:rFonts w:ascii="Consolas" w:hAnsi="Consolas" w:eastAsia="宋体" w:cs="Consolas"/>
                <w:b w:val="0"/>
                <w:i w:val="0"/>
                <w:color w:val="8C8079"/>
                <w:sz w:val="17"/>
              </w:rPr>
              <w:t>()</w:t>
            </w:r>
          </w:p>
        </w:tc>
      </w:tr>
    </w:tbl>
    <w:p>
      <w:pPr>
        <w:spacing w:before="0" w:after="240" w:line="240" w:lineRule="auto"/>
      </w:pPr>
      <w:r>
        <w:rPr>
          <w:rFonts w:ascii="Calibri" w:hAnsi="Calibri" w:eastAsia="宋体" w:cs="Calibri"/>
          <w:b w:val="0"/>
          <w:i w:val="0"/>
          <w:color w:val="241B17"/>
          <w:sz w:val="4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361" w:bottom="1304" w:left="1361" w:header="652" w:footer="65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50" w:type="dxa"/>
        <w:left w:w="0" w:type="dxa"/>
        <w:bottom w:w="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876"/>
          <w:tcBorders>
            <w:top w:val="single" w:sz="4" w:space="0" w:color="E9DAD2"/>
          </w:tcBorders>
        </w:tcPr>
        <w:p>
          <w:pPr>
            <w:spacing w:before="0" w:after="0"/>
          </w:pPr>
          <w:r>
            <w:rPr>
              <w:rFonts w:ascii="微软雅黑" w:hAnsi="微软雅黑" w:eastAsia="微软雅黑" w:cs="微软雅黑"/>
              <w:b w:val="0"/>
              <w:i w:val="0"/>
              <w:color w:val="9B8A82"/>
              <w:sz w:val="16"/>
            </w:rPr>
            <w:t>纽创信安（OSR）</w:t>
          </w:r>
        </w:p>
      </w:tc>
      <w:tc>
        <w:tcPr>
          <w:tcW w:type="dxa" w:w="4309"/>
          <w:tcBorders>
            <w:top w:val="single" w:sz="4" w:space="0" w:color="E9DAD2"/>
          </w:tcBorders>
        </w:tcPr>
        <w:p>
          <w:pPr>
            <w:spacing w:before="0" w:after="0"/>
            <w:jc w:val="right"/>
          </w:pP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第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PAGE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 共 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begin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instrText xml:space="preserve">  NUMPAGES  </w:instrTex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separate"/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t>14</w:t>
          </w:r>
          <w:r>
            <w:rPr>
              <w:rFonts w:ascii="Consolas" w:hAnsi="Consolas" w:eastAsia="宋体" w:cs="Consolas"/>
              <w:b w:val="0"/>
              <w:i w:val="0"/>
              <w:color w:val="9B8A82"/>
              <w:sz w:val="16"/>
            </w:rPr>
            <w:fldChar w:fldCharType="end"/>
          </w:r>
          <w:r>
            <w:rPr>
              <w:rFonts w:ascii="Calibri" w:hAnsi="Calibri" w:eastAsia="宋体" w:cs="Calibri"/>
              <w:b w:val="0"/>
              <w:i w:val="0"/>
              <w:color w:val="9B8A82"/>
              <w:sz w:val="16"/>
            </w:rPr>
            <w:t xml:space="preserve"> 页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Borders>
        <w:top w:val="nil" w:sz="4" w:space="0" w:color="E9DAD2"/>
        <w:left w:val="nil" w:sz="4" w:space="0" w:color="E9DAD2"/>
        <w:bottom w:val="nil" w:sz="4" w:space="0" w:color="E9DAD2"/>
        <w:right w:val="nil" w:sz="4" w:space="0" w:color="E9DAD2"/>
        <w:insideH w:val="nil" w:sz="4" w:space="0" w:color="E9DAD2"/>
        <w:insideV w:val="nil" w:sz="4" w:space="0" w:color="E9DAD2"/>
      </w:tblBorders>
      <w:tblLayout w:type="fixed"/>
      <w:tblLayout w:type="fixed"/>
      <w:tblCellMar>
        <w:top w:w="0" w:type="dxa"/>
        <w:left w:w="0" w:type="dxa"/>
        <w:bottom w:w="60" w:type="dxa"/>
        <w:right w:w="0" w:type="dxa"/>
      </w:tblCellMar>
      <w:tblLook w:firstColumn="1" w:firstRow="1" w:lastColumn="0" w:lastRow="0" w:noHBand="0" w:noVBand="1" w:val="04A0"/>
    </w:tblPr>
    <w:tblGrid>
      <w:gridCol w:w="4592"/>
      <w:gridCol w:w="4592"/>
    </w:tblGrid>
    <w:tr>
      <w:tc>
        <w:tcPr>
          <w:tcW w:type="dxa" w:w="4309"/>
          <w:tcBorders>
            <w:bottom w:val="single" w:sz="4" w:space="0" w:color="E9DAD2"/>
          </w:tcBorders>
        </w:tcPr>
        <w:p>
          <w:pPr>
            <w:spacing w:before="0" w:after="40" w:line="240" w:lineRule="auto"/>
          </w:pPr>
          <w:r>
            <w:drawing>
              <wp:inline xmlns:a="http://schemas.openxmlformats.org/drawingml/2006/main" xmlns:pic="http://schemas.openxmlformats.org/drawingml/2006/picture">
                <wp:extent cx="1116000" cy="335639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xhlog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16000" cy="335639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876"/>
          <w:tcBorders>
            <w:bottom w:val="single" w:sz="4" w:space="0" w:color="E9DAD2"/>
          </w:tcBorders>
        </w:tcPr>
        <w:p>
          <w:pPr>
            <w:spacing w:before="0" w:after="40" w:line="240" w:lineRule="auto"/>
            <w:jc w:val="right"/>
          </w:pPr>
          <w:r>
            <w:rPr>
              <w:rFonts w:ascii="微软雅黑" w:hAnsi="微软雅黑" w:eastAsia="微软雅黑" w:cs="微软雅黑"/>
              <w:b w:val="0"/>
              <w:i w:val="0"/>
              <w:color w:val="6B5B54"/>
              <w:sz w:val="17"/>
            </w:rPr>
            <w:t>TAA 模型提供方用户手册  ·  V1.0</w:t>
          </w:r>
        </w:p>
      </w:tc>
    </w:tr>
  </w:tbl>
  <w:p>
    <w:pPr>
      <w:spacing w:before="0" w:after="0" w:line="240" w:lineRule="auto"/>
    </w:pPr>
    <w:r>
      <w:rPr>
        <w:rFonts w:ascii="Calibri" w:hAnsi="Calibri" w:eastAsia="宋体" w:cs="Calibri"/>
        <w:b w:val="0"/>
        <w:i w:val="0"/>
        <w:color w:val="241B17"/>
        <w:sz w:val="2"/>
      </w:rPr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updateFields w:val="true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Calibri" w:hAnsi="Calibri" w:eastAsia="宋体"/>
      <w:color w:val="241B17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241B17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TAA 模型提供方用户手册</dc:title>
  <dc:subject>模型代码的文件读写约定</dc:subject>
  <dc:creator>纽创信安（OSR）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