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onsolas" w:hAnsi="Consolas" w:eastAsia="宋体" w:cs="Consolas"/>
          <w:b w:val="0"/>
          <w:i w:val="0"/>
          <w:color w:val="0C6D73"/>
          <w:spacing w:val="20"/>
          <w:sz w:val="17"/>
        </w:rPr>
        <w:t>TAA · 模型提供方手册</w:t>
      </w:r>
    </w:p>
    <w:p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3222B"/>
          <w:sz w:val="48"/>
        </w:rPr>
        <w:t>模型提供方文件读写约定</w:t>
      </w:r>
    </w:p>
    <w:p>
      <w:pPr>
        <w:keepNext w:val="0"/>
        <w:spacing w:before="0" w:after="200" w:line="360" w:lineRule="auto"/>
      </w:pPr>
      <w:r>
        <w:rPr>
          <w:rFonts w:ascii="Calibri" w:hAnsi="Calibri" w:eastAsia="宋体" w:cs="Calibri"/>
          <w:b w:val="0"/>
          <w:i w:val="0"/>
          <w:color w:val="56676F"/>
          <w:sz w:val="22"/>
        </w:rPr>
        <w:t>搬进 TEE 内部执行的训练与推理代码，应该从哪里读文件、往哪里写文件，以及写的时候要遵守什么格式。按本手册改造后的代码不调用任何网络接口，也不需要引入专有依赖，在普通环境下同样能跑。</w:t>
      </w:r>
    </w:p>
    <w:p>
      <w:pPr>
        <w:spacing w:before="40" w:after="280"/>
      </w:pPr>
      <w:r>
        <w:rPr>
          <w:rFonts w:ascii="微软雅黑" w:hAnsi="微软雅黑" w:eastAsia="微软雅黑" w:cs="微软雅黑"/>
          <w:b w:val="0"/>
          <w:i w:val="0"/>
          <w:color w:val="56676F"/>
          <w:sz w:val="17"/>
          <w:shd w:val="clear" w:color="auto" w:fill="EDF3F4"/>
        </w:rPr>
        <w:t xml:space="preserve"> 输入只读 </w:t>
      </w:r>
      <w:r>
        <w:rPr>
          <w:rFonts w:ascii="Calibri" w:hAnsi="Calibri" w:eastAsia="宋体" w:cs="Calibri"/>
          <w:b w:val="0"/>
          <w:i w:val="0"/>
          <w:color w:val="56676F"/>
          <w:sz w:val="17"/>
        </w:rPr>
        <w:t xml:space="preserve">  </w:t>
      </w:r>
      <w:r>
        <w:rPr>
          <w:rFonts w:ascii="微软雅黑" w:hAnsi="微软雅黑" w:eastAsia="微软雅黑" w:cs="微软雅黑"/>
          <w:b w:val="0"/>
          <w:i w:val="0"/>
          <w:color w:val="0A5B60"/>
          <w:sz w:val="17"/>
          <w:shd w:val="clear" w:color="auto" w:fill="DCEFF0"/>
        </w:rPr>
        <w:t xml:space="preserve"> 产物集中在一处 </w:t>
      </w:r>
      <w:r>
        <w:rPr>
          <w:rFonts w:ascii="Calibri" w:hAnsi="Calibri" w:eastAsia="宋体" w:cs="Calibri"/>
          <w:b w:val="0"/>
          <w:i w:val="0"/>
          <w:color w:val="56676F"/>
          <w:sz w:val="17"/>
        </w:rPr>
        <w:t xml:space="preserve">  </w:t>
      </w:r>
      <w:r>
        <w:rPr>
          <w:rFonts w:ascii="微软雅黑" w:hAnsi="微软雅黑" w:eastAsia="微软雅黑" w:cs="微软雅黑"/>
          <w:b w:val="0"/>
          <w:i w:val="0"/>
          <w:color w:val="2C7A4E"/>
          <w:sz w:val="17"/>
          <w:shd w:val="clear" w:color="auto" w:fill="E0F0E7"/>
        </w:rPr>
        <w:t xml:space="preserve"> 原子写入 </w:t>
      </w:r>
      <w:r>
        <w:rPr>
          <w:rFonts w:ascii="Calibri" w:hAnsi="Calibri" w:eastAsia="宋体" w:cs="Calibri"/>
          <w:b w:val="0"/>
          <w:i w:val="0"/>
          <w:color w:val="56676F"/>
          <w:sz w:val="17"/>
        </w:rPr>
        <w:t xml:space="preserve">  </w:t>
      </w:r>
      <w:r>
        <w:rPr>
          <w:rFonts w:ascii="微软雅黑" w:hAnsi="微软雅黑" w:eastAsia="微软雅黑" w:cs="微软雅黑"/>
          <w:b w:val="0"/>
          <w:i w:val="0"/>
          <w:color w:val="96620F"/>
          <w:sz w:val="17"/>
          <w:shd w:val="clear" w:color="auto" w:fill="F7ECD8"/>
        </w:rPr>
        <w:t xml:space="preserve"> 日志与进度是旁路 </w:t>
      </w:r>
    </w:p>
    <w:p>
      <w:pPr>
        <w:spacing w:before="80" w:after="80"/>
      </w:pPr>
      <w:r>
        <w:rPr>
          <w:rFonts w:ascii="Consolas" w:hAnsi="Consolas" w:eastAsia="宋体" w:cs="Consolas"/>
          <w:b w:val="0"/>
          <w:i w:val="0"/>
          <w:color w:val="7D8D94"/>
          <w:spacing w:val="20"/>
          <w:sz w:val="17"/>
        </w:rPr>
        <w:t>目录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01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目录布局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02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写日志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03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写进度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04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写结果汇总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05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禁止事项</w:t>
      </w:r>
    </w:p>
    <w:p>
      <w:pPr>
        <w:tabs>
          <w:tab w:pos="510" w:val="left"/>
        </w:tabs>
        <w:spacing w:before="0" w:after="20" w:line="300" w:lineRule="auto"/>
        <w:ind w:left="510" w:hanging="510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06</w:t>
        <w:tab/>
      </w:r>
      <w:r>
        <w:rPr>
          <w:rFonts w:ascii="Calibri" w:hAnsi="Calibri" w:eastAsia="宋体" w:cs="Calibri"/>
          <w:b w:val="0"/>
          <w:i w:val="0"/>
          <w:color w:val="56676F"/>
          <w:sz w:val="20"/>
        </w:rPr>
        <w:t>上线前检查清单</w:t>
      </w:r>
    </w:p>
    <w:p>
      <w:pPr>
        <w:pBdr>
          <w:bottom w:val="single" w:sz="4" w:space="1" w:color="D6E0E2"/>
        </w:pBdr>
        <w:spacing w:before="40" w:after="200"/>
      </w:pPr>
    </w:p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01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目录布局</w:t>
      </w:r>
    </w:p>
    <w:p>
      <w:pPr>
        <w:keepNext w:val="0"/>
        <w:spacing w:before="0" w:after="200" w:line="336" w:lineRule="auto"/>
      </w:pPr>
      <w:r>
        <w:rPr>
          <w:rFonts w:ascii="Calibri" w:hAnsi="Calibri" w:eastAsia="宋体" w:cs="Calibri"/>
          <w:b w:val="0"/>
          <w:i w:val="0"/>
          <w:color w:val="56676F"/>
          <w:sz w:val="21"/>
        </w:rPr>
        <w:t>TEE 内固定提供以下目录，训练代码只与它们打交道。</w:t>
      </w:r>
    </w:p>
    <w:tbl>
      <w:tblPr>
        <w:tblW w:type="auto" w:w="0"/>
        <w:jc w:val="left"/>
        <w:tblBorders>
          <w:top w:val="single" w:sz="4" w:space="0" w:color="D6E0E2"/>
          <w:left w:val="single" w:sz="4" w:space="0" w:color="D6E0E2"/>
          <w:bottom w:val="single" w:sz="4" w:space="0" w:color="D6E0E2"/>
          <w:right w:val="single" w:sz="4" w:space="0" w:color="D6E0E2"/>
          <w:insideH w:val="single" w:sz="4" w:space="0" w:color="D6E0E2"/>
          <w:insideV w:val="single" w:sz="4" w:space="0" w:color="D6E0E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742"/>
            <w:shd w:val="clear" w:color="auto" w:fill="EDF3F4"/>
          </w:tcPr>
          <w:p>
            <w:pPr>
              <w:spacing w:before="0" w:after="0"/>
            </w:pPr>
            <w:r>
              <w:rPr>
                <w:rFonts w:ascii="Consolas" w:hAnsi="Consolas" w:eastAsia="宋体" w:cs="Consolas"/>
                <w:b w:val="0"/>
                <w:i w:val="0"/>
                <w:color w:val="7D8D94"/>
                <w:sz w:val="16"/>
              </w:rPr>
              <w:t>TEE 文件系统</w:t>
            </w:r>
          </w:p>
        </w:tc>
        <w:tc>
          <w:tcPr>
            <w:tcW w:type="dxa" w:w="5669"/>
            <w:shd w:val="clear" w:color="auto" w:fill="EDF3F4"/>
          </w:tcPr>
          <w:p>
            <w:pPr>
              <w:spacing w:before="0" w:after="0"/>
            </w:pPr>
            <w:r>
              <w:rPr>
                <w:rFonts w:ascii="Consolas" w:hAnsi="Consolas" w:eastAsia="宋体" w:cs="Consolas"/>
                <w:b w:val="0"/>
                <w:i w:val="0"/>
                <w:color w:val="7D8D94"/>
                <w:sz w:val="16"/>
              </w:rPr>
              <w:t>角色</w:t>
            </w:r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/opt/taa/input/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56676F"/>
                <w:sz w:val="16"/>
                <w:shd w:val="clear" w:color="auto" w:fill="EDF3F4"/>
              </w:rPr>
              <w:t xml:space="preserve"> 只读 </w:t>
            </w:r>
          </w:p>
        </w:tc>
      </w:tr>
      <w:tr>
        <w:tc>
          <w:tcPr>
            <w:tcW w:type="dxa" w:w="5669"/>
            <w:gridSpan w:val="2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7D8D94"/>
                <w:sz w:val="16"/>
              </w:rPr>
              <w:t>输入目录下的内容按模型所需的数据而定，此处不列举。</w:t>
            </w:r>
          </w:p>
        </w:tc>
      </w:tr>
      <w:tr>
        <w:tc>
          <w:tcPr>
            <w:tcW w:type="dxa" w:w="3742"/>
          </w:tcPr>
          <w:p>
            <w:pPr>
              <w:spacing w:before="16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/opt/taa/output/</w:t>
            </w:r>
          </w:p>
        </w:tc>
        <w:tc>
          <w:tcPr>
            <w:tcW w:type="dxa" w:w="5669"/>
          </w:tcPr>
          <w:p>
            <w:pPr>
              <w:spacing w:before="16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C7A4E"/>
                <w:sz w:val="16"/>
                <w:shd w:val="clear" w:color="auto" w:fill="E0F0E7"/>
              </w:rPr>
              <w:t xml:space="preserve"> 可写 </w:t>
            </w:r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├── result/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0A5B60"/>
                <w:sz w:val="16"/>
                <w:shd w:val="clear" w:color="auto" w:fill="DCEFF0"/>
              </w:rPr>
              <w:t xml:space="preserve"> 交付 · 唯一会被导出 </w:t>
            </w:r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│    ├── weights/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│    ├── training_result.json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│    └── test_result.xlsx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├── log/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6620F"/>
                <w:sz w:val="16"/>
                <w:shd w:val="clear" w:color="auto" w:fill="F7ECD8"/>
              </w:rPr>
              <w:t xml:space="preserve"> 旁路 · 不导出 </w:t>
            </w:r>
          </w:p>
        </w:tc>
      </w:tr>
      <w:tr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 xml:space="preserve">  └── progress/</w:t>
            </w:r>
          </w:p>
        </w:tc>
        <w:tc>
          <w:tcPr>
            <w:tcW w:type="dxa" w:w="5669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6620F"/>
                <w:sz w:val="16"/>
                <w:shd w:val="clear" w:color="auto" w:fill="F7ECD8"/>
              </w:rPr>
              <w:t xml:space="preserve"> 旁路 · 不导出 </w:t>
            </w:r>
          </w:p>
        </w:tc>
      </w:tr>
      <w:tr>
        <w:tc>
          <w:tcPr>
            <w:tcW w:type="dxa" w:w="3742"/>
          </w:tcPr>
          <w:p>
            <w:pPr>
              <w:spacing w:before="160" w:after="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/opt/taa/models/</w:t>
            </w:r>
          </w:p>
        </w:tc>
        <w:tc>
          <w:tcPr>
            <w:tcW w:type="dxa" w:w="5669"/>
          </w:tcPr>
          <w:p>
            <w:pPr>
              <w:spacing w:before="16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56676F"/>
                <w:sz w:val="16"/>
                <w:shd w:val="clear" w:color="auto" w:fill="EDF3F4"/>
              </w:rPr>
              <w:t xml:space="preserve"> 你的源码 · 进程工作目录 </w:t>
            </w:r>
          </w:p>
        </w:tc>
      </w:tr>
    </w:tbl>
    <w:p>
      <w:pPr>
        <w:spacing w:before="0" w:after="40" w:line="240" w:lineRule="auto"/>
      </w:pP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 w:val="0"/>
          <w:i w:val="0"/>
          <w:color w:val="13222B"/>
          <w:sz w:val="21"/>
        </w:rPr>
        <w:t>三条硬性规则：</w:t>
      </w:r>
    </w:p>
    <w:p>
      <w:pPr>
        <w:tabs>
          <w:tab w:pos="425" w:val="left"/>
        </w:tabs>
        <w:spacing w:before="0" w:after="80"/>
        <w:ind w:left="425" w:hanging="425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1.</w:t>
        <w:tab/>
      </w:r>
      <w:r>
        <w:rPr>
          <w:rFonts w:ascii="Calibri" w:hAnsi="Calibri" w:eastAsia="宋体" w:cs="Calibri"/>
          <w:b/>
          <w:i w:val="0"/>
          <w:color w:val="13222B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不得在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/opt/taa/input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下创建、修改或删除任何文件，包括缓存与临时文件。</w:t>
      </w:r>
    </w:p>
    <w:p>
      <w:pPr>
        <w:tabs>
          <w:tab w:pos="425" w:val="left"/>
        </w:tabs>
        <w:spacing w:before="0" w:after="80"/>
        <w:ind w:left="425" w:hanging="425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2.</w:t>
        <w:tab/>
      </w:r>
      <w:r>
        <w:rPr>
          <w:rFonts w:ascii="Calibri" w:hAnsi="Calibri" w:eastAsia="宋体" w:cs="Calibri"/>
          <w:b/>
          <w:i w:val="0"/>
          <w:color w:val="13222B"/>
          <w:sz w:val="21"/>
        </w:rPr>
        <w:t xml:space="preserve">产物集中在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result/</w:t>
      </w:r>
      <w:r>
        <w:rPr>
          <w:rFonts w:ascii="Calibri" w:hAnsi="Calibri" w:eastAsia="宋体" w:cs="Calibri"/>
          <w:b/>
          <w:i w:val="0"/>
          <w:color w:val="13222B"/>
          <w:sz w:val="21"/>
        </w:rPr>
        <w:t>。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log/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progress/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result/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。</w:t>
      </w:r>
    </w:p>
    <w:p>
      <w:pPr>
        <w:tabs>
          <w:tab w:pos="425" w:val="left"/>
        </w:tabs>
        <w:spacing w:before="0" w:after="80"/>
        <w:ind w:left="425" w:hanging="425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3.</w:t>
        <w:tab/>
      </w:r>
      <w:r>
        <w:rPr>
          <w:rFonts w:ascii="Calibri" w:hAnsi="Calibri" w:eastAsia="宋体" w:cs="Calibri"/>
          <w:b/>
          <w:i w:val="0"/>
          <w:color w:val="13222B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进程的工作目录是你的源码目录，相对路径会落到代码目录而不是产物目录。</w:t>
      </w:r>
    </w:p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02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写日志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/>
          <w:i w:val="0"/>
          <w:color w:val="13222B"/>
          <w:sz w:val="21"/>
        </w:rPr>
        <w:t>位置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：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/opt/taa/output/log/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。目录下所有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*.jsonl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*.log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文件都会被读取。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/>
          <w:i w:val="0"/>
          <w:color w:val="13222B"/>
          <w:sz w:val="21"/>
        </w:rPr>
        <w:t>格式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：每行一个 JSON 对象，追加写入。</w:t>
      </w:r>
    </w:p>
    <w:p>
      <w:pPr>
        <w:keepLines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"timestamp"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"2026-10-12T07:15:32Z"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"message"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"[Train] Epoch 3/150 finished - loss: 0.3821"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</w:p>
    <w:p>
      <w:pPr>
        <w:tabs>
          <w:tab w:pos="369" w:val="left"/>
        </w:tabs>
        <w:spacing w:before="0" w:after="80"/>
        <w:ind w:left="369" w:hanging="369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•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消息字段取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message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，也接受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msg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；时间字段取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timestamp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，也接受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time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ts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。</w:t>
      </w:r>
    </w:p>
    <w:p>
      <w:pPr>
        <w:tabs>
          <w:tab w:pos="369" w:val="left"/>
        </w:tabs>
        <w:spacing w:before="0" w:after="80"/>
        <w:ind w:left="369" w:hanging="369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•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时间戳可选；写了会显示为日志前缀。</w:t>
      </w:r>
    </w:p>
    <w:p>
      <w:pPr>
        <w:tabs>
          <w:tab w:pos="369" w:val="left"/>
        </w:tabs>
        <w:spacing w:before="0" w:after="80"/>
        <w:ind w:left="369" w:hanging="369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•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也接受不含 JSON 的纯文本行；未识别的字段会被忽略，可以按需增加。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 w:val="0"/>
          <w:i w:val="0"/>
          <w:color w:val="13222B"/>
          <w:sz w:val="21"/>
        </w:rPr>
        <w:t>必须遵守：</w:t>
      </w:r>
    </w:p>
    <w:p>
      <w:pPr>
        <w:tabs>
          <w:tab w:pos="539" w:val="left"/>
        </w:tabs>
        <w:spacing w:before="0" w:after="120"/>
        <w:ind w:left="539" w:hanging="539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01</w:t>
        <w:tab/>
      </w:r>
      <w:r>
        <w:rPr>
          <w:rFonts w:ascii="Calibri" w:hAnsi="Calibri" w:eastAsia="宋体" w:cs="Calibri"/>
          <w:b/>
          <w:i w:val="0"/>
          <w:color w:val="13222B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没有换行的尾部（包括正在写入的半行）不会被读取，直到换行符落盘为止。</w:t>
      </w:r>
    </w:p>
    <w:p>
      <w:pPr>
        <w:tabs>
          <w:tab w:pos="539" w:val="left"/>
        </w:tabs>
        <w:spacing w:before="0" w:after="120"/>
        <w:ind w:left="539" w:hanging="539"/>
      </w:pPr>
      <w:r>
        <w:rPr>
          <w:rFonts w:ascii="Consolas" w:hAnsi="Consolas" w:eastAsia="宋体" w:cs="Consolas"/>
          <w:b w:val="0"/>
          <w:i w:val="0"/>
          <w:color w:val="0C6D73"/>
          <w:sz w:val="17"/>
        </w:rPr>
        <w:t>02</w:t>
        <w:tab/>
      </w:r>
      <w:r>
        <w:rPr>
          <w:rFonts w:ascii="Calibri" w:hAnsi="Calibri" w:eastAsia="宋体" w:cs="Calibri"/>
          <w:b/>
          <w:i w:val="0"/>
          <w:color w:val="13222B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文件如果变小（被截断重写），会被当作新文件从头读取，导致日志重复。</w:t>
      </w:r>
    </w:p>
    <w:p>
      <w:pPr>
        <w:pStyle w:val="Heading3"/>
      </w:pPr>
      <w:r>
        <w:rPr>
          <w:rFonts w:ascii="微软雅黑" w:hAnsi="微软雅黑" w:eastAsia="微软雅黑" w:cs="微软雅黑"/>
          <w:b/>
          <w:i w:val="0"/>
          <w:color w:val="13222B"/>
          <w:sz w:val="23"/>
        </w:rPr>
        <w:t>参考实现</w:t>
      </w:r>
    </w:p>
    <w:p>
      <w:pPr>
        <w:keepLines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0B6E75"/>
          <w:sz w:val="16"/>
        </w:rPr>
        <w:t>import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json</w:t>
      </w:r>
      <w:r>
        <w:br/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from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datetime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import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datetime, timezone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class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ModelLogger: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def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__init__(self, log_dir, filename=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"train.log"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self.path = Path(log_dir) / filename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self.path.parent.mkdir(parents=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True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, exist_ok=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True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self._file = open(self.path,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"a"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, encoding=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"utf-8"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def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log(self, message: str) -&gt;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None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ts = datetime.now(timezone.utc).strftime(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"%Y-%m-%dT%H:%M:%SZ"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self._file.write(json.dumps({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"timestamp"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: ts,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"message"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: str(message)},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                        ensure_ascii=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False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) +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"\n"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self._file.flush()  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# 不 flush，日志会滞留在缓冲区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print(message)      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# 同时输出到控制台，便于本地调试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def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close(self) -&gt;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None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self._file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and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not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self._file.closed: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self._file.flush()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self._file.close()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17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298"/>
            <w:tcBorders>
              <w:left w:val="single" w:sz="24" w:space="0" w:color="96620F"/>
            </w:tcBorders>
            <w:shd w:val="clear" w:color="auto" w:fill="F7ECD8"/>
          </w:tcPr>
          <w:p>
            <w:pPr>
              <w:spacing w:before="0" w:after="0" w:line="324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03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写进度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/>
          <w:i w:val="0"/>
          <w:color w:val="13222B"/>
          <w:sz w:val="21"/>
        </w:rPr>
        <w:t>位置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：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13222B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，不是目录。</w:t>
      </w:r>
    </w:p>
    <w:p>
      <w:pPr>
        <w:keepLines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"percent"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34.6525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"timestamp"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"2026-10-12T07:15:32.123456Z"</w:t>
      </w:r>
      <w:r>
        <w:br/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</w:p>
    <w:tbl>
      <w:tblPr>
        <w:tblW w:type="auto" w:w="0"/>
        <w:jc w:val="left"/>
        <w:tblBorders>
          <w:top w:val="single" w:sz="4" w:space="0" w:color="D6E0E2"/>
          <w:left w:val="single" w:sz="4" w:space="0" w:color="D6E0E2"/>
          <w:bottom w:val="single" w:sz="4" w:space="0" w:color="D6E0E2"/>
          <w:right w:val="single" w:sz="4" w:space="0" w:color="D6E0E2"/>
          <w:insideH w:val="single" w:sz="4" w:space="0" w:color="D6E0E2"/>
          <w:insideV w:val="single" w:sz="4" w:space="0" w:color="D6E0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644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字段</w:t>
            </w:r>
          </w:p>
        </w:tc>
        <w:tc>
          <w:tcPr>
            <w:tcW w:type="dxa" w:w="850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必填</w:t>
            </w:r>
          </w:p>
        </w:tc>
        <w:tc>
          <w:tcPr>
            <w:tcW w:type="dxa" w:w="6860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说明</w:t>
            </w:r>
          </w:p>
        </w:tc>
      </w:tr>
      <w:tr>
        <w:tc>
          <w:tcPr>
            <w:tcW w:type="dxa" w:w="1644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percent</w:t>
            </w:r>
          </w:p>
        </w:tc>
        <w:tc>
          <w:tcPr>
            <w:tcW w:type="dxa" w:w="8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是</w:t>
            </w:r>
          </w:p>
        </w:tc>
        <w:tc>
          <w:tcPr>
            <w:tcW w:type="dxa" w:w="686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。越界、非数字或整个文件不是 JSON 对象都会被忽略，进度停在原处</w:t>
            </w:r>
          </w:p>
        </w:tc>
      </w:tr>
      <w:tr>
        <w:tc>
          <w:tcPr>
            <w:tcW w:type="dxa" w:w="1644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timestamp</w:t>
            </w:r>
          </w:p>
        </w:tc>
        <w:tc>
          <w:tcPr>
            <w:tcW w:type="dxa" w:w="8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否</w:t>
            </w:r>
          </w:p>
        </w:tc>
        <w:tc>
          <w:tcPr>
            <w:tcW w:type="dxa" w:w="686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40" w:line="240" w:lineRule="auto"/>
      </w:pP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 w:val="0"/>
          <w:i w:val="0"/>
          <w:color w:val="13222B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3"/>
      </w:pPr>
      <w:r>
        <w:rPr>
          <w:rFonts w:ascii="微软雅黑" w:hAnsi="微软雅黑" w:eastAsia="微软雅黑" w:cs="微软雅黑"/>
          <w:b/>
          <w:i w:val="0"/>
          <w:color w:val="13222B"/>
          <w:sz w:val="23"/>
        </w:rPr>
        <w:t>参考实现</w:t>
      </w:r>
    </w:p>
    <w:p>
      <w:pPr>
        <w:keepLines w:val="0"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0B6E75"/>
          <w:sz w:val="16"/>
        </w:rPr>
        <w:t>import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json, os, time</w:t>
      </w:r>
      <w:r>
        <w:br/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from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datetime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import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datetime, timezone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class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ProgressTracker: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def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__init__(self, progress_path, min_interval_seconds=0.2, min_percent_delta=0.0001):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self.path = Path(progress_path)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self.tmp_path = self.path.with_suffix(self.path.suffix +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".tmp"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self.path.parent.mkdir(parents=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True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, exist_ok=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True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self.min_interval_seconds = min_interval_seconds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self.min_percent_delta = min_percent_delta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self._last_percent = -1.0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self._last_write_time = 0.0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def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update(self, percent, force=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False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 -&gt; bool: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percent = max(0.0, min(100.0, round(float(percent), 4)))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self._last_percent &gt;= 0.0: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percent = max(percent, self._last_percent)  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# 单调不回退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not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force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and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self._last_percent &gt;= 0.0: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elapsed = time.time() - self._last_write_time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if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elapsed &lt; self.min_interval_seconds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and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abs(percent - self._last_percent) &lt; self.min_percent_delta: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return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False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payload = 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"percent"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: percent,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"timestamp"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: datetime.now(timezone.utc).strftime(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"%Y-%m-%dT%H:%M:%S.%fZ"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}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with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open(self.tmp_path,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"w"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, encoding=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"utf-8"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)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as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f: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f.write(json.dumps(payload, ensure_ascii=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False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, indent=2) +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"\n"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f.flush()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    os.fsync(f.fileno())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os.replace(self.tmp_path, self.path)            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# 原子替换</w:t>
      </w:r>
      <w:r>
        <w:br/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self._last_percent = percent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self._last_write_time = time.time()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return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True</w:t>
      </w:r>
    </w:p>
    <w:p>
      <w:pPr>
        <w:pStyle w:val="Heading3"/>
      </w:pPr>
      <w:r>
        <w:rPr>
          <w:rFonts w:ascii="微软雅黑" w:hAnsi="微软雅黑" w:eastAsia="微软雅黑" w:cs="微软雅黑"/>
          <w:b/>
          <w:i w:val="0"/>
          <w:color w:val="13222B"/>
          <w:sz w:val="23"/>
        </w:rPr>
        <w:t>建议的进度预算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 w:val="0"/>
          <w:i w:val="0"/>
          <w:color w:val="13222B"/>
          <w:sz w:val="21"/>
        </w:rPr>
        <w:t>可按任务调整，原则是初始化与收尾都要覆盖，长循环中间要有细粒度变化。</w:t>
      </w:r>
    </w:p>
    <w:tbl>
      <w:tblPr>
        <w:tblW w:type="auto" w:w="0"/>
        <w:jc w:val="left"/>
        <w:tblBorders>
          <w:top w:val="single" w:sz="4" w:space="0" w:color="D6E0E2"/>
          <w:left w:val="single" w:sz="4" w:space="0" w:color="D6E0E2"/>
          <w:bottom w:val="single" w:sz="4" w:space="0" w:color="D6E0E2"/>
          <w:right w:val="single" w:sz="4" w:space="0" w:color="D6E0E2"/>
          <w:insideH w:val="single" w:sz="4" w:space="0" w:color="D6E0E2"/>
          <w:insideV w:val="single" w:sz="4" w:space="0" w:color="D6E0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928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区间</w:t>
            </w:r>
          </w:p>
        </w:tc>
        <w:tc>
          <w:tcPr>
            <w:tcW w:type="dxa" w:w="7427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0% – 2%</w:t>
            </w:r>
          </w:p>
        </w:tc>
        <w:tc>
          <w:tcPr>
            <w:tcW w:type="dxa" w:w="742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参数解析、模型构建、损失与优化器、DataLoader 就绪</w:t>
            </w:r>
          </w:p>
        </w:tc>
      </w:tr>
      <w:tr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2% – 96%</w:t>
            </w:r>
          </w:p>
        </w:tc>
        <w:tc>
          <w:tcPr>
            <w:tcW w:type="dxa" w:w="742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按 epoch 均分；epoch 内按 batch 平滑插值；每 epoch 开始、25%、50%、75%、收尾各强制写一次</w:t>
            </w:r>
          </w:p>
        </w:tc>
      </w:tr>
      <w:tr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13222B"/>
                <w:sz w:val="18"/>
              </w:rPr>
              <w:t>96% – 100%</w:t>
            </w:r>
          </w:p>
        </w:tc>
        <w:tc>
          <w:tcPr>
            <w:tcW w:type="dxa" w:w="742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、完成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17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298"/>
            <w:tcBorders>
              <w:left w:val="single" w:sz="24" w:space="0" w:color="96620F"/>
            </w:tcBorders>
            <w:shd w:val="clear" w:color="auto" w:fill="F7ECD8"/>
          </w:tcPr>
          <w:p>
            <w:pPr>
              <w:spacing w:before="0" w:after="0" w:line="324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04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写结果汇总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/>
          <w:i w:val="0"/>
          <w:color w:val="13222B"/>
          <w:sz w:val="21"/>
        </w:rPr>
        <w:t>位置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：产物目录根部，即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。</w:t>
      </w:r>
    </w:p>
    <w:p>
      <w:pPr>
        <w:keepNext w:val="0"/>
        <w:spacing w:before="0" w:after="120" w:line="336" w:lineRule="auto"/>
      </w:pPr>
      <w:r>
        <w:rPr>
          <w:rFonts w:ascii="Calibri" w:hAnsi="Calibri" w:eastAsia="宋体" w:cs="Calibri"/>
          <w:b w:val="0"/>
          <w:i w:val="0"/>
          <w:color w:val="13222B"/>
          <w:sz w:val="21"/>
        </w:rPr>
        <w:t>进程以退出码 0 结束后，该文件会被读取并与审计信息、数据校验和合并成最终报告。</w:t>
      </w:r>
      <w:r>
        <w:rPr>
          <w:rFonts w:ascii="Calibri" w:hAnsi="Calibri" w:eastAsia="宋体" w:cs="Calibri"/>
          <w:b/>
          <w:i w:val="0"/>
          <w:color w:val="13222B"/>
          <w:sz w:val="21"/>
        </w:rPr>
        <w:t xml:space="preserve">只有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result/</w:t>
      </w:r>
      <w:r>
        <w:rPr>
          <w:rFonts w:ascii="Calibri" w:hAnsi="Calibri" w:eastAsia="宋体" w:cs="Calibri"/>
          <w:b/>
          <w:i w:val="0"/>
          <w:color w:val="13222B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；进程非 0 退出时产物不会被收集。</w:t>
      </w:r>
    </w:p>
    <w:p>
      <w:pPr>
        <w:keepLines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"training_task"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"metrics"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"final_accuracy"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0.9425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"final_loss"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0.1352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"final_auc"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0.9810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"final_f1"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0.9380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"epochs"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[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"epoch"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1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"accuracy"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0.6500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"loss"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0.8500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"epoch"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2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"accuracy"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0.8100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"loss"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0.4200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"epoch"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3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"accuracy"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0.9425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"loss"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0.1352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  ]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"dataset"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"total_samples"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12500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"splits"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"train"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10000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,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"test"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: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2500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  <w:r>
        <w:br/>
      </w:r>
      <w:r>
        <w:rPr>
          <w:rFonts w:ascii="Consolas" w:hAnsi="Consolas" w:eastAsia="宋体" w:cs="Consolas"/>
          <w:b w:val="0"/>
          <w:i w:val="0"/>
          <w:color w:val="7D8D94"/>
          <w:sz w:val="16"/>
        </w:rPr>
        <w:t>}</w:t>
      </w:r>
    </w:p>
    <w:p>
      <w:pPr>
        <w:tabs>
          <w:tab w:pos="369" w:val="left"/>
        </w:tabs>
        <w:spacing w:before="0" w:after="80"/>
        <w:ind w:left="369" w:hanging="369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•</w:t>
        <w:tab/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training_task.metrics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dataset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是实际被采集的两块内容，指标键名自定。</w:t>
      </w:r>
    </w:p>
    <w:p>
      <w:pPr>
        <w:tabs>
          <w:tab w:pos="369" w:val="left"/>
        </w:tabs>
        <w:spacing w:before="0" w:after="80"/>
        <w:ind w:left="369" w:hanging="369"/>
      </w:pPr>
      <w:r>
        <w:rPr>
          <w:rFonts w:ascii="Calibri" w:hAnsi="Calibri" w:eastAsia="宋体" w:cs="Calibri"/>
          <w:b w:val="0"/>
          <w:i w:val="0"/>
          <w:color w:val="0C6D73"/>
          <w:sz w:val="20"/>
        </w:rPr>
        <w:t>•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文件缺失不会导致任务失败，但报告里就没有对应指标。</w:t>
      </w:r>
      <w:r>
        <w:rPr>
          <w:rFonts w:ascii="Calibri" w:hAnsi="Calibri" w:eastAsia="宋体" w:cs="Calibri"/>
          <w:b/>
          <w:i w:val="0"/>
          <w:color w:val="13222B"/>
          <w:sz w:val="21"/>
        </w:rPr>
        <w:t>无论成功失败都应尽量写出该文件。</w:t>
      </w:r>
    </w:p>
    <w:p>
      <w:pPr>
        <w:keepLines/>
        <w:pBdr>
          <w:top w:val="single" w:sz="4" w:space="6" w:color="D6E0E2"/>
          <w:left w:val="single" w:sz="16" w:space="6" w:color="0C6D73"/>
          <w:bottom w:val="single" w:sz="4" w:space="6" w:color="D6E0E2"/>
          <w:right w:val="single" w:sz="4" w:space="6" w:color="D6E0E2"/>
        </w:pBdr>
        <w:shd w:val="clear" w:color="auto" w:fill="F3F6F7"/>
        <w:spacing w:before="40" w:after="200" w:line="252" w:lineRule="auto"/>
        <w:ind w:left="102" w:right="28"/>
      </w:pP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result_path = OUTPUT_DIR /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"training_result.json"</w:t>
      </w:r>
      <w:r>
        <w:br/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with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open(result_path, 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"w"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, encoding=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"utf-8"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) 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as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f: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json.dump(training_result, f, indent=2, ensure_ascii=</w:t>
      </w:r>
      <w:r>
        <w:rPr>
          <w:rFonts w:ascii="Consolas" w:hAnsi="Consolas" w:eastAsia="宋体" w:cs="Consolas"/>
          <w:b w:val="0"/>
          <w:i w:val="0"/>
          <w:color w:val="0B6E75"/>
          <w:sz w:val="16"/>
        </w:rPr>
        <w:t>False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  <w:r>
        <w:br/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 xml:space="preserve">    f.write(</w:t>
      </w:r>
      <w:r>
        <w:rPr>
          <w:rFonts w:ascii="Consolas" w:hAnsi="Consolas" w:eastAsia="宋体" w:cs="Consolas"/>
          <w:b w:val="0"/>
          <w:i w:val="0"/>
          <w:color w:val="2C7A4E"/>
          <w:sz w:val="16"/>
        </w:rPr>
        <w:t>"\n"</w:t>
      </w:r>
      <w:r>
        <w:rPr>
          <w:rFonts w:ascii="Consolas" w:hAnsi="Consolas" w:eastAsia="宋体" w:cs="Consolas"/>
          <w:b w:val="0"/>
          <w:i w:val="0"/>
          <w:color w:val="1B2B33"/>
          <w:sz w:val="16"/>
        </w:rPr>
        <w:t>)</w:t>
      </w:r>
    </w:p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05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禁止事项</w:t>
      </w:r>
    </w:p>
    <w:tbl>
      <w:tblPr>
        <w:tblW w:type="auto" w:w="0"/>
        <w:jc w:val="left"/>
        <w:tblBorders>
          <w:top w:val="single" w:sz="4" w:space="0" w:color="D6E0E2"/>
          <w:left w:val="single" w:sz="4" w:space="0" w:color="D6E0E2"/>
          <w:bottom w:val="single" w:sz="4" w:space="0" w:color="D6E0E2"/>
          <w:right w:val="single" w:sz="4" w:space="0" w:color="D6E0E2"/>
          <w:insideH w:val="single" w:sz="4" w:space="0" w:color="D6E0E2"/>
          <w:insideV w:val="single" w:sz="4" w:space="0" w:color="D6E0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969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行为</w:t>
            </w:r>
          </w:p>
        </w:tc>
        <w:tc>
          <w:tcPr>
            <w:tcW w:type="dxa" w:w="5386"/>
            <w:shd w:val="clear" w:color="auto" w:fill="EDF3F4"/>
          </w:tcPr>
          <w:p>
            <w:pPr>
              <w:keepNext/>
              <w:spacing w:before="0" w:after="0" w:line="312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56676F"/>
                <w:sz w:val="16"/>
              </w:rPr>
              <w:t>后果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下创建、修改、删除文件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违反 TEE 内只读约束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（原始图片、CSV、标注文件）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13222B"/>
                <w:sz w:val="18"/>
              </w:rPr>
              <w:t>拒绝导出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等环境变量转储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同上，命中明文特征即拒绝导出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0A5B60"/>
                <w:sz w:val="16"/>
                <w:shd w:val="clear" w:color="auto" w:fill="EDF3F4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）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代码审计红线，审计结论将判为未通过并上报平台（结论仅供参考，由平台侧处置）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反弹 Shell、提权、危险系统调用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同上</w:t>
            </w:r>
          </w:p>
        </w:tc>
      </w:tr>
      <w:tr>
        <w:tc>
          <w:tcPr>
            <w:tcW w:type="dxa" w:w="396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单次产物超过大小上限（默认 3 GB）</w:t>
            </w:r>
          </w:p>
        </w:tc>
        <w:tc>
          <w:tcPr>
            <w:tcW w:type="dxa" w:w="538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13222B"/>
                <w:sz w:val="18"/>
              </w:rPr>
              <w:t>导出被拒绝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tabs>
          <w:tab w:pos="737" w:val="left"/>
        </w:tabs>
      </w:pPr>
      <w:r>
        <w:rPr>
          <w:rFonts w:ascii="Consolas" w:hAnsi="Consolas" w:eastAsia="宋体" w:cs="Consolas"/>
          <w:b w:val="0"/>
          <w:i w:val="0"/>
          <w:color w:val="0C6D73"/>
          <w:sz w:val="22"/>
        </w:rPr>
        <w:t>06</w:t>
        <w:tab/>
      </w:r>
      <w:r>
        <w:rPr>
          <w:rFonts w:ascii="微软雅黑" w:hAnsi="微软雅黑" w:eastAsia="微软雅黑" w:cs="微软雅黑"/>
          <w:b/>
          <w:i w:val="0"/>
          <w:color w:val="13222B"/>
          <w:sz w:val="30"/>
        </w:rPr>
        <w:t>上线前检查清单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/opt/taa/input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的写操作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/opt/taa/output/result/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下，没有散落在别处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路径按上述绝对路径书写，没有写成相对路径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/opt/taa/output/log/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，每行以换行符结尾，只追加不重写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percent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在 0–100 之间且单调不回退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training_task.metrics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dataset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0A5B60"/>
          <w:sz w:val="18"/>
          <w:shd w:val="clear" w:color="auto" w:fill="EDF3F4"/>
        </w:rPr>
        <w:t>training_result.json</w:t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，或至少保证日志与进度可用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产物中没有原始数据副本、密钥、环境变量转储</w:t>
      </w:r>
    </w:p>
    <w:p>
      <w:pPr>
        <w:tabs>
          <w:tab w:pos="425" w:val="left"/>
        </w:tabs>
        <w:spacing w:before="40" w:after="40"/>
        <w:ind w:left="425" w:hanging="425"/>
      </w:pPr>
      <w:r>
        <w:rPr>
          <w:rFonts w:ascii="Segoe UI Symbol" w:hAnsi="Segoe UI Symbol" w:eastAsia="Segoe UI Symbol" w:cs="Segoe UI Symbol"/>
          <w:b w:val="0"/>
          <w:i w:val="0"/>
          <w:color w:val="7D8D94"/>
          <w:sz w:val="24"/>
        </w:rPr>
        <w:t>☐</w:t>
        <w:tab/>
      </w:r>
      <w:r>
        <w:rPr>
          <w:rFonts w:ascii="Calibri" w:hAnsi="Calibri" w:eastAsia="宋体" w:cs="Calibri"/>
          <w:b w:val="0"/>
          <w:i w:val="0"/>
          <w:color w:val="13222B"/>
          <w:sz w:val="21"/>
        </w:rPr>
        <w:t>代码中不存在任何网络调用</w:t>
      </w:r>
    </w:p>
    <w:p>
      <w:pPr>
        <w:pBdr>
          <w:top w:val="single" w:sz="4" w:space="6" w:color="D6E0E2"/>
        </w:pBdr>
        <w:spacing w:before="360" w:after="0" w:line="324" w:lineRule="auto"/>
      </w:pPr>
      <w:r>
        <w:rPr>
          <w:rFonts w:ascii="Calibri" w:hAnsi="Calibri" w:eastAsia="宋体" w:cs="Calibri"/>
          <w:b w:val="0"/>
          <w:i w:val="0"/>
          <w:color w:val="7D8D94"/>
          <w:sz w:val="17"/>
        </w:rPr>
        <w:t xml:space="preserve">本手册只覆盖文件读写约定。审计红线、阶段划分与导出口径见 </w:t>
      </w:r>
      <w:r>
        <w:rPr>
          <w:rFonts w:ascii="Consolas" w:hAnsi="Consolas" w:eastAsia="宋体" w:cs="Consolas"/>
          <w:b w:val="0"/>
          <w:i w:val="0"/>
          <w:color w:val="0A5B60"/>
          <w:sz w:val="14"/>
          <w:shd w:val="clear" w:color="auto" w:fill="EDF3F4"/>
        </w:rPr>
        <w:t>docs/api-design.md</w:t>
      </w:r>
      <w:r>
        <w:rPr>
          <w:rFonts w:ascii="Calibri" w:hAnsi="Calibri" w:eastAsia="宋体" w:cs="Calibri"/>
          <w:b w:val="0"/>
          <w:i w:val="0"/>
          <w:color w:val="7D8D94"/>
          <w:sz w:val="17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0A5B60"/>
          <w:sz w:val="14"/>
          <w:shd w:val="clear" w:color="auto" w:fill="EDF3F4"/>
        </w:rPr>
        <w:t>docs/architecture-design.md</w:t>
      </w:r>
      <w:r>
        <w:rPr>
          <w:rFonts w:ascii="Calibri" w:hAnsi="Calibri" w:eastAsia="宋体" w:cs="Calibri"/>
          <w:b w:val="0"/>
          <w:i w:val="0"/>
          <w:color w:val="7D8D94"/>
          <w:sz w:val="17"/>
        </w:rPr>
        <w:t>；模型代码审计结论仅供参考，不阻断 TAA 侧的模型导入与训练。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62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6E0E2"/>
      </w:pBdr>
      <w:spacing w:before="80" w:after="0"/>
      <w:jc w:val="right"/>
    </w:pPr>
    <w:r>
      <w:rPr>
        <w:rFonts w:ascii="微软雅黑" w:hAnsi="微软雅黑" w:eastAsia="微软雅黑" w:cs="微软雅黑"/>
        <w:b w:val="0"/>
        <w:i w:val="0"/>
        <w:color w:val="7D8D94"/>
        <w:sz w:val="16"/>
      </w:rPr>
      <w:t xml:space="preserve">纽创信安（OSR） · 第 </w:t>
    </w:r>
    <w:fldSimple w:instr=" PAGE ">
      <w:r>
        <w:rPr>
          <w:sz w:val="16"/>
          <w:color w:val="7D8D94"/>
        </w:rPr>
        <w:t>1</w:t>
      </w:r>
    </w:fldSimple>
    <w:r>
      <w:rPr>
        <w:rFonts w:ascii="微软雅黑" w:hAnsi="微软雅黑" w:eastAsia="微软雅黑" w:cs="微软雅黑"/>
        <w:b w:val="0"/>
        <w:i w:val="0"/>
        <w:color w:val="7D8D94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110" w:type="dxa"/>
        <w:right w:w="0" w:type="dxa"/>
      </w:tblCellMar>
      <w:tblLook w:firstColumn="1" w:firstRow="1" w:lastColumn="0" w:lastRow="0" w:noHBand="0" w:noVBand="1" w:val="04A0"/>
    </w:tblPr>
    <w:tblGrid>
      <w:gridCol w:w="4706"/>
      <w:gridCol w:w="4706"/>
    </w:tblGrid>
    <w:tr>
      <w:tc>
        <w:tcPr>
          <w:tcW w:type="dxa" w:w="5102"/>
          <w:tcBorders>
            <w:bottom w:val="single" w:sz="4" w:space="0" w:color="D6E0E2"/>
          </w:tcBorders>
        </w:tcPr>
        <w:p>
          <w:pPr>
            <w:spacing w:before="0" w:after="0"/>
          </w:pPr>
          <w:r>
            <w:drawing>
              <wp:inline xmlns:a="http://schemas.openxmlformats.org/drawingml/2006/main" xmlns:pic="http://schemas.openxmlformats.org/drawingml/2006/picture">
                <wp:extent cx="1044000" cy="31398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4000" cy="31398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09"/>
          <w:tcBorders>
            <w:bottom w:val="single" w:sz="4" w:space="0" w:color="D6E0E2"/>
          </w:tcBorders>
        </w:tcPr>
        <w:p>
          <w:pPr>
            <w:spacing w:before="0" w:after="0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7D8D94"/>
              <w:sz w:val="17"/>
            </w:rPr>
            <w:t>TAA · 模型提供方文件读写约定</w:t>
          </w:r>
        </w:p>
      </w:tc>
    </w:tr>
  </w:tbl>
  <w:p>
    <w:pPr>
      <w:pStyle w:val="Header"/>
      <w:spacing w:before="0" w:after="0" w:line="240" w:lineRule="auto"/>
    </w:pPr>
    <w:r/>
    <w:r>
      <w:rPr>
        <w:rFonts w:ascii="Calibri" w:hAnsi="Calibri" w:eastAsia="宋体" w:cs="Calibri"/>
        <w:b w:val="0"/>
        <w:i w:val="0"/>
        <w:color w:val="7D8D94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Calibri" w:hAnsi="Calibri" w:eastAsia="宋体"/>
      <w:color w:val="1322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312" w:lineRule="auto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3222B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12" w:lineRule="auto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322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312" w:lineRule="auto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322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模型提供方文件读写约定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