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 w:after="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</w:r>
    </w:p>
    <w:p>
      <w:pPr>
        <w:spacing w:before="0" w:after="520" w:line="240" w:lineRule="auto"/>
      </w:pPr>
      <w:r>
        <w:rPr>
          <w:rFonts w:ascii="Consolas" w:hAnsi="Consolas" w:eastAsia="微软雅黑" w:cs="Consolas"/>
          <w:b w:val="0"/>
          <w:i w:val="0"/>
          <w:color w:val="D9500F"/>
          <w:sz w:val="20"/>
          <w:spacing w:val="40"/>
        </w:rPr>
        <w:t>TAA 平台 · 用户文档</w:t>
      </w:r>
    </w:p>
    <w:p>
      <w:pPr>
        <w:spacing w:before="0" w:after="200" w:line="300" w:lineRule="auto"/>
      </w:pPr>
      <w:r>
        <w:rPr>
          <w:rFonts w:ascii="微软雅黑" w:hAnsi="微软雅黑" w:eastAsia="微软雅黑" w:cs="微软雅黑"/>
          <w:b/>
          <w:i w:val="0"/>
          <w:color w:val="241B17"/>
          <w:sz w:val="60"/>
          <w:spacing w:val="10"/>
        </w:rPr>
        <w:t>TAA 模型提供方用户手册</w:t>
      </w:r>
    </w:p>
    <w:p>
      <w:pPr>
        <w:spacing w:before="0" w:after="360" w:line="336" w:lineRule="auto"/>
      </w:pPr>
      <w:r>
        <w:rPr>
          <w:rFonts w:ascii="微软雅黑" w:hAnsi="微软雅黑" w:eastAsia="微软雅黑" w:cs="微软雅黑"/>
          <w:b w:val="0"/>
          <w:i w:val="0"/>
          <w:color w:val="6B5B54"/>
          <w:sz w:val="32"/>
        </w:rPr>
        <w:t>模型代码的文件读写约定</w:t>
      </w:r>
    </w:p>
    <w:p>
      <w:pPr>
        <w:pBdr>
          <w:bottom w:val="single" w:sz="12" w:space="2" w:color="D9500F"/>
        </w:pBdr>
        <w:spacing w:before="0" w:after="680" w:line="240" w:lineRule="auto"/>
      </w:pPr>
    </w:p>
    <w:tbl>
      <w:tblPr>
        <w:tblW w:type="auto" w:w="0"/>
        <w:tblBorders>
          <w:top w:val="nil" w:sz="4" w:space="0" w:color="E9DAD2"/>
          <w:left w:val="nil" w:sz="4" w:space="0" w:color="E9DAD2"/>
          <w:bottom w:val="nil" w:sz="4" w:space="0" w:color="E9DAD2"/>
          <w:right w:val="nil" w:sz="4" w:space="0" w:color="E9DAD2"/>
          <w:insideH w:val="nil" w:sz="4" w:space="0" w:color="E9DAD2"/>
          <w:insideV w:val="nil" w:sz="4" w:space="0" w:color="E9DAD2"/>
        </w:tblBorders>
        <w:tblLayout w:type="fixed"/>
        <w:tblCellMar>
          <w:top w:w="55" w:type="dxa"/>
          <w:left w:w="0" w:type="dxa"/>
          <w:bottom w:w="55" w:type="dxa"/>
          <w:right w:w="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20"/>
              </w:rPr>
              <w:t>文档版本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2"/>
              </w:rPr>
              <w:t>V1.0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20"/>
              </w:rPr>
              <w:t>发布日期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2"/>
              </w:rPr>
              <w:t>2026-10-26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20"/>
              </w:rPr>
              <w:t>适用产品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2"/>
              </w:rPr>
              <w:t>TAA 机密计算平台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20"/>
              </w:rPr>
              <w:t>读者对象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2"/>
              </w:rPr>
              <w:t>模型提供方开发人员</w:t>
            </w:r>
          </w:p>
        </w:tc>
      </w:tr>
    </w:tbl>
    <w:p>
      <w:pPr>
        <w:spacing w:before="3000" w:after="80" w:line="240" w:lineRule="auto"/>
      </w:pPr>
      <w:r>
        <w:rPr>
          <w:rFonts w:ascii="微软雅黑" w:hAnsi="微软雅黑" w:eastAsia="微软雅黑" w:cs="微软雅黑"/>
          <w:b/>
          <w:i w:val="0"/>
          <w:color w:val="6B5B54"/>
          <w:sz w:val="24"/>
        </w:rPr>
        <w:t>纽创信安（OSR）</w:t>
      </w:r>
    </w:p>
    <w:p>
      <w:pPr>
        <w:spacing w:before="0" w:after="0" w:line="240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内部资料 · 请勿外传</w:t>
      </w:r>
    </w:p>
    <w:p>
      <w:pPr>
        <w:pageBreakBefore/>
        <w:spacing w:before="0" w:after="0" w:line="240" w:lineRule="auto"/>
      </w:pPr>
    </w:p>
    <w:p>
      <w:pPr>
        <w:keepNext/>
        <w:pBdr>
          <w:bottom w:val="single" w:sz="8" w:space="6" w:color="E9DAD2"/>
        </w:pBdr>
        <w:spacing w:before="0" w:after="280" w:line="288" w:lineRule="auto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文档信息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0-1  文档信息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204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项目</w:t>
            </w:r>
          </w:p>
        </w:tc>
        <w:tc>
          <w:tcPr>
            <w:tcW w:type="dxa" w:w="7143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文档名称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TAA 模型提供方用户手册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文档版本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V1.0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发布日期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2026-10-26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适用产品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TAA 机密计算平台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读者对象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模型提供方开发人员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编写单位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纽创信安（OSR）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0-2  修订记录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  <w:cantSplit w:val="true"/>
        </w:trPr>
        <w:tc>
          <w:tcPr>
            <w:tcW w:type="dxa" w:w="147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版本</w:t>
            </w:r>
          </w:p>
        </w:tc>
        <w:tc>
          <w:tcPr>
            <w:tcW w:type="dxa" w:w="192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日期</w:t>
            </w:r>
          </w:p>
        </w:tc>
        <w:tc>
          <w:tcPr>
            <w:tcW w:type="dxa" w:w="442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修订说明</w:t>
            </w:r>
          </w:p>
        </w:tc>
        <w:tc>
          <w:tcPr>
            <w:tcW w:type="dxa" w:w="136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修订人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V1.0</w:t>
            </w:r>
          </w:p>
        </w:tc>
        <w:tc>
          <w:tcPr>
            <w:tcW w:type="dxa" w:w="192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2026-10-26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首次发布</w:t>
            </w:r>
          </w:p>
        </w:tc>
        <w:tc>
          <w:tcPr>
            <w:tcW w:type="dxa" w:w="136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黄建业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本手册描述模型代码在 TAA 机密计算平台内的文件读写约定。手册内容与平台版本同步更新，后续修订会记录在上表中。</w:t>
      </w:r>
    </w:p>
    <w:p>
      <w:pPr>
        <w:pageBreakBefore/>
        <w:spacing w:before="0" w:after="0" w:line="240" w:lineRule="auto"/>
      </w:pPr>
    </w:p>
    <w:p>
      <w:pPr>
        <w:keepNext/>
        <w:pBdr>
          <w:bottom w:val="single" w:sz="8" w:space="6" w:color="E9DAD2"/>
        </w:pBdr>
        <w:spacing w:before="0" w:after="280" w:line="288" w:lineRule="auto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目录</w:t>
      </w:r>
    </w:p>
    <w:p>
      <w:pPr>
        <w:spacing w:before="0" w:after="0" w:line="312" w:lineRule="auto"/>
      </w:pPr>
      <w:r>
        <w:fldChar w:fldCharType="begin"/>
      </w:r>
      <w:r>
        <w:instrText xml:space="preserve"> TOC \o "1-2" \h \z \u </w:instrText>
      </w:r>
      <w:r>
        <w:fldChar w:fldCharType="separate"/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1  概述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1.1  编写目的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1.2  适用范围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1.3  读者对象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1.4  术语与缩略语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2  运行环境与目录布局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2.1  TEE 内目录结构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2.2  目录职责与生命周期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2.3  基本约定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3  接入流程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3.1  接入步骤总览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3.2  步骤一：确认输入与输出目录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3.3  步骤二：参数化目录配置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3.4  步骤三：实现三类输出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3.5  步骤四：本地自检并上传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4  写日志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4.1  文件位置与命名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4.2  格式与字段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4.3  编写要求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4.4  参考实现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5  上报训练进度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5.1  文件位置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5.2  格式与字段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5.3  写入要求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5.4  参考实现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5.5  进度预算建议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6  生成结果汇总文件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6.1  文件位置与生效条件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6.2  文件格式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6.3  采集范围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6.4  写入示例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6.5  失败路径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7  禁止事项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8  常见问题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9  上传前检查清单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附录 A  关键路径速查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附录 B  端到端示例</w:t>
      </w:r>
    </w:p>
    <w:p>
      <w:pPr>
        <w:spacing w:before="0" w:after="0" w:line="312" w:lineRule="auto"/>
      </w:pPr>
      <w:r>
        <w:fldChar w:fldCharType="end"/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1  概述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1.1  编写目的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本手册面向接入 TAA 机密计算平台的模型提供方，说明模型代码在 TEE（可信执行环境）内应如何读取输入、写出日志、上报训练进度并生成结果汇总文件。按本手册改造后的代码不调用任何网络接口，也不需要引入专有依赖，在普通环境下同样可以运行。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1.2  适用范围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本手册适用于在 TAA 内执行的训练任务；推理任务沿用同一套目录与文件约定。手册只覆盖文件读写约定；代码审计红线、任务阶段划分与产物导出口径不在本手册范围内。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1.3  读者对象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负责模型训练或推理代码开发、需要将代码接入 TAA 的工程人员。读者应熟悉 Linux 文件操作与 JSON 格式，并具备一定编程能力。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1.4  术语与缩略语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1-1  术语说明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158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术语</w:t>
            </w:r>
          </w:p>
        </w:tc>
        <w:tc>
          <w:tcPr>
            <w:tcW w:type="dxa" w:w="759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TAA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Trusted Application Agent，可信应用代理；模型训练与推理的机密计算平台，模型代码在其中的 TEE 内执行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TEE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Trusted Execution Environment，可信执行环境；宿主无法读取或篡改其中的内存与文件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输入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平台提供、模型只读的数据，位于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/opt/taa/input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产物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需要导出的输出文件，位于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/opt/taa/output/result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，任务结束后统一导出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旁路文件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日志与进度文件，用于展示运行状态，不随任务导出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文中「注意」框表示必须遵守的限制，「提示」框给出建议做法；代码示例可直接复制使用。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2  运行环境与目录布局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2.1  TEE 内目录结构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TEE 内固定提供以下目录，模型代码只与它们打交道。输入目录的内容按模型实际需要而定，由平台在任务开始时准备。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2-1  目录结构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476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路径</w:t>
            </w:r>
          </w:p>
        </w:tc>
        <w:tc>
          <w:tcPr>
            <w:tcW w:type="dxa" w:w="442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角色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/opt/taa/input/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只读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/opt/taa/output/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可写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 xml:space="preserve">    ├── result/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交付 · 唯一会被导出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 xml:space="preserve">    │   ├── weights/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模型权重（示例）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 xml:space="preserve">    │   ├── training_result.json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结果汇总文件，见第 6 章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 xml:space="preserve">    │   ├── test_result.xlsx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测试结果（示例）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 xml:space="preserve">    │   └── …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按实际交付内容增删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 xml:space="preserve">    ├── log/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旁路 · 不导出 · 平台据此展示训练过程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 xml:space="preserve">    │   └── train.jsonl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每行一条 JSON 日志，可拆成多个文件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 xml:space="preserve">    └── progress/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旁路 · 不导出 · 平台据此显示进度条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 xml:space="preserve">        └── progress.json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文件名固定，进度写在其中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/opt/taa/models/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你的源码 · 进程工作目录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2.2  目录职责与生命周期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2-2  目录职责与生命周期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  <w:cantSplit w:val="true"/>
        </w:trPr>
        <w:tc>
          <w:tcPr>
            <w:tcW w:type="dxa" w:w="2835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目录</w:t>
            </w:r>
          </w:p>
        </w:tc>
        <w:tc>
          <w:tcPr>
            <w:tcW w:type="dxa" w:w="226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用途</w:t>
            </w:r>
          </w:p>
        </w:tc>
        <w:tc>
          <w:tcPr>
            <w:tcW w:type="dxa" w:w="113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是否导出</w:t>
            </w:r>
          </w:p>
        </w:tc>
        <w:tc>
          <w:tcPr>
            <w:tcW w:type="dxa" w:w="294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生命周期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/opt/taa/input/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模型只读的输入数据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否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任务开始时由 TAA 将所需数据集拷贝到该目录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/opt/taa/output/result/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交付产物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是（唯一）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任务开始时创建；进程正常结束后移出并落盘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/opt/taa/output/log/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运行日志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否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任务结束后清空；执行期间逐行追加，可拆成多个 *.jsonl / *.log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/opt/taa/output/progress/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进度文件所在目录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否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任务结束后清空；执行期间反复覆盖写入 progress.json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/opt/taa/models/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模型源码，进程工作目录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否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任务开始时提供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2.3  基本约定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接入前请先确认以下三条约定，它们贯穿全文：</w:t>
      </w:r>
    </w:p>
    <w:p>
      <w:pPr>
        <w:spacing w:before="0" w:after="60" w:line="348" w:lineRule="auto"/>
        <w:ind w:left="624" w:hanging="351"/>
        <w:jc w:val="both"/>
      </w:pPr>
      <w:r>
        <w:rPr>
          <w:rFonts w:ascii="Calibri" w:hAnsi="Calibri" w:eastAsia="宋体" w:cs="Calibri"/>
          <w:b/>
          <w:i w:val="0"/>
          <w:color w:val="D9500F"/>
          <w:sz w:val="24"/>
        </w:rPr>
        <w:t xml:space="preserve">1) </w:t>
      </w:r>
      <w:r>
        <w:rPr>
          <w:rFonts w:ascii="Calibri" w:hAnsi="Calibri" w:eastAsia="宋体" w:cs="Calibri"/>
          <w:b/>
          <w:i w:val="0"/>
          <w:color w:val="241B17"/>
          <w:sz w:val="24"/>
        </w:rPr>
        <w:t>输入目录只读。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不得在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/opt/taa/input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下创建、修改或删除任何文件，包括缓存与临时文件。</w:t>
      </w:r>
    </w:p>
    <w:p>
      <w:pPr>
        <w:spacing w:before="0" w:after="60" w:line="348" w:lineRule="auto"/>
        <w:ind w:left="624" w:hanging="351"/>
        <w:jc w:val="both"/>
      </w:pPr>
      <w:r>
        <w:rPr>
          <w:rFonts w:ascii="Calibri" w:hAnsi="Calibri" w:eastAsia="宋体" w:cs="Calibri"/>
          <w:b/>
          <w:i w:val="0"/>
          <w:color w:val="D9500F"/>
          <w:sz w:val="24"/>
        </w:rPr>
        <w:t xml:space="preserve">2) </w:t>
      </w:r>
      <w:r>
        <w:rPr>
          <w:rFonts w:ascii="Calibri" w:hAnsi="Calibri" w:eastAsia="宋体" w:cs="Calibri"/>
          <w:b/>
          <w:i w:val="0"/>
          <w:color w:val="241B17"/>
          <w:sz w:val="24"/>
        </w:rPr>
        <w:t xml:space="preserve">产物集中在 </w:t>
      </w:r>
      <w:r>
        <w:rPr>
          <w:rFonts w:ascii="Consolas" w:hAnsi="Consolas" w:eastAsia="宋体" w:cs="Consolas"/>
          <w:b/>
          <w:i w:val="0"/>
          <w:color w:val="A8261B"/>
          <w:sz w:val="23"/>
        </w:rPr>
        <w:t>result/</w:t>
      </w:r>
      <w:r>
        <w:rPr>
          <w:rFonts w:ascii="Calibri" w:hAnsi="Calibri" w:eastAsia="宋体" w:cs="Calibri"/>
          <w:b/>
          <w:i w:val="0"/>
          <w:color w:val="241B17"/>
          <w:sz w:val="24"/>
        </w:rPr>
        <w:t>。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log/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progress/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只是旁路通道；需要交付的文件一律放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。</w:t>
      </w:r>
    </w:p>
    <w:p>
      <w:pPr>
        <w:spacing w:before="0" w:after="60" w:line="348" w:lineRule="auto"/>
        <w:ind w:left="624" w:hanging="351"/>
        <w:jc w:val="both"/>
      </w:pPr>
      <w:r>
        <w:rPr>
          <w:rFonts w:ascii="Calibri" w:hAnsi="Calibri" w:eastAsia="宋体" w:cs="Calibri"/>
          <w:b/>
          <w:i w:val="0"/>
          <w:color w:val="D9500F"/>
          <w:sz w:val="24"/>
        </w:rPr>
        <w:t xml:space="preserve">3) </w:t>
      </w:r>
      <w:r>
        <w:rPr>
          <w:rFonts w:ascii="Calibri" w:hAnsi="Calibri" w:eastAsia="宋体" w:cs="Calibri"/>
          <w:b/>
          <w:i w:val="0"/>
          <w:color w:val="241B17"/>
          <w:sz w:val="24"/>
        </w:rPr>
        <w:t>不要写相对路径。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进程的工作目录是源码目录，相对路径会落到代码目录而不是产物目录。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3  接入流程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3.1  接入步骤总览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把一份已有代码接入 TAA，通常按以下五步完成：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3-1  接入步骤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  <w:cantSplit w:val="true"/>
        </w:trPr>
        <w:tc>
          <w:tcPr>
            <w:tcW w:type="dxa" w:w="1020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步骤</w:t>
            </w:r>
          </w:p>
        </w:tc>
        <w:tc>
          <w:tcPr>
            <w:tcW w:type="dxa" w:w="5443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内容</w:t>
            </w:r>
          </w:p>
        </w:tc>
        <w:tc>
          <w:tcPr>
            <w:tcW w:type="dxa" w:w="272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参见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确认输入与输出目录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2.1、2.2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参数化目录配置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3.3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实现日志与进度输出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第 4 章、第 5 章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写出结果汇总文件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第 6 章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5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本地自检并上传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3.5、第 9 章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3.2  步骤一：确认输入与输出目录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先确认代码读取什么、产出什么。所有读取只应发生在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/opt/taa/input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下；所有需要交付的文件只应写到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/opt/taa/output/result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下。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3.3  步骤二：参数化目录配置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建议把三个目录写成模块级常量，并允许用环境变量覆盖，这样同一份代码在本地调试与 TEE 内运行可以使用不同路径：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示例 3-1  目录常量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9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pathlib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os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INPUT_DIR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environ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get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"TAA_INPUT_DIR"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"/opt/taa/input"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environ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get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"TAA_OUTPUT_DIR"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"/opt/taa/output"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"result"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"log"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"progress"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"progress.json"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3.4  步骤三：实现三类输出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日志、进度与结果汇总文件的作用不同，实现方式也不同：日志用于展示运行过程，按行追加；进度用于驱动平台上的进度条，需要原子写入且单调不回退；结果汇总文件在任务结束时写出，被合并进最终报告。三类输出的格式分别见第 4、5、6 章。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3.5  步骤四：本地自检并上传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改造完成后，先在普通环境用临时目录完整跑一遍，确认三个文件都按预期生成、内容可以正常解析；随后按第 9 章的检查清单逐项确认，再提交上传。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4  写日志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4.1  文件位置与命名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日志写在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/opt/taa/output/log/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下。文件名不限，后缀为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*.jsonl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或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*.log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就会被读取（后缀不区分大小写），可以按阶段拆成多个文件。子目录不会被扫描，日志请直接放在该目录下。多个文件按文件名排序后读取，平台上的展示先后顺序与文件名一致。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4.2  格式与字段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每行一个 JSON 对象，追加写入：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9"/>
              </w:rPr>
              <w:t xml:space="preserve">    json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"2026-10-12T07:15:32Z"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"message"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"loss 0.3821"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}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4-1  日志字段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  <w:cantSplit w:val="true"/>
        </w:trPr>
        <w:tc>
          <w:tcPr>
            <w:tcW w:type="dxa" w:w="170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字段</w:t>
            </w:r>
          </w:p>
        </w:tc>
        <w:tc>
          <w:tcPr>
            <w:tcW w:type="dxa" w:w="113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必填</w:t>
            </w:r>
          </w:p>
        </w:tc>
        <w:tc>
          <w:tcPr>
            <w:tcW w:type="dxa" w:w="6350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message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是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日志正文，也接受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msg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timestamp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否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RFC3339 时间戳，也接受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time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、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ts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；写入后显示为日志前缀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未识别的字段会被忽略，可以按需增加。也接受不含 JSON 的纯文本行。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4.3  编写要求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20"/>
        </w:rPr>
        <w:t xml:space="preserve">01  </w:t>
      </w:r>
      <w:r>
        <w:rPr>
          <w:rFonts w:ascii="Calibri" w:hAnsi="Calibri" w:eastAsia="宋体" w:cs="Calibri"/>
          <w:b/>
          <w:i w:val="0"/>
          <w:color w:val="241B17"/>
          <w:sz w:val="24"/>
        </w:rPr>
        <w:t>每行以换行符结尾。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没有换行的尾部（包括正在写入的半行）不会被读取，直到换行符落盘为止。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20"/>
        </w:rPr>
        <w:t xml:space="preserve">02  </w:t>
      </w:r>
      <w:r>
        <w:rPr>
          <w:rFonts w:ascii="Calibri" w:hAnsi="Calibri" w:eastAsia="宋体" w:cs="Calibri"/>
          <w:b/>
          <w:i w:val="0"/>
          <w:color w:val="241B17"/>
          <w:sz w:val="24"/>
        </w:rPr>
        <w:t>只追加，不覆盖、不回退。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文件如果变小（被截断重写），会被当作新文件从头读取，导致日志重复。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4.4  参考实现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示例 4-1  日志写入参考实现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9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json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timezone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class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24"/>
              </w:rPr>
              <w:t>ModelLogger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24"/>
              </w:rPr>
              <w:t>__init__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filename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"train.log"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) /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filename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parent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mkdir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parents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exist_ok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open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"a"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24"/>
              </w:rPr>
              <w:t>log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message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str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) -&gt;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None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now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now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timezone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utc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now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strftime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"%Y-%m-%dT%H:%M:%SZ"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record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"message"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str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message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line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dumps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record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)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"\n"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write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line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flush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()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24"/>
              </w:rPr>
              <w:t># 不 flush 会滞留在缓冲区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print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message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)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24"/>
              </w:rPr>
              <w:t># 同时输出到控制台，便于调试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24"/>
              </w:rPr>
              <w:t>close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) -&gt;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None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and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not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closed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flush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()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close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()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tbl>
      <w:tblPr>
        <w:tblW w:type="auto" w:w="0"/>
        <w:jc w:val="left"/>
        <w:tblLayout w:type="fixed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tcBorders>
              <w:left w:val="single" w:sz="18" w:space="0" w:color="8A5A0B"/>
            </w:tcBorders>
            <w:shd w:val="clear" w:color="auto" w:fill="FCF1DC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spacing w:before="0" w:after="0" w:line="336" w:lineRule="auto"/>
              <w:jc w:val="both"/>
            </w:pPr>
            <w:r>
              <w:rPr>
                <w:rFonts w:ascii="微软雅黑" w:hAnsi="微软雅黑" w:eastAsia="微软雅黑" w:cs="微软雅黑"/>
                <w:b/>
                <w:i w:val="0"/>
                <w:color w:val="8A5A0B"/>
                <w:sz w:val="21"/>
              </w:rPr>
              <w:t>注意：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任务结束后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log/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目录会被清空。不要依赖上一次运行留下的文件，每次运行重新创建。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5  上报训练进度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5.1  文件位置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进度写在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/opt/taa/output/progress/progress.json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。注意这是一个</w:t>
      </w:r>
      <w:r>
        <w:rPr>
          <w:rFonts w:ascii="Calibri" w:hAnsi="Calibri" w:eastAsia="宋体" w:cs="Calibri"/>
          <w:b/>
          <w:i w:val="0"/>
          <w:color w:val="241B17"/>
          <w:sz w:val="24"/>
        </w:rPr>
        <w:t>文件路径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，不是目录，文件名固定为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progress.json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5.2  格式与字段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9"/>
              </w:rPr>
              <w:t xml:space="preserve">    json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"percent"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34.6525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"2026-10-12T07:15:32.123456Z"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}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5-1  进度字段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  <w:cantSplit w:val="true"/>
        </w:trPr>
        <w:tc>
          <w:tcPr>
            <w:tcW w:type="dxa" w:w="170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字段</w:t>
            </w:r>
          </w:p>
        </w:tc>
        <w:tc>
          <w:tcPr>
            <w:tcW w:type="dxa" w:w="113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必填</w:t>
            </w:r>
          </w:p>
        </w:tc>
        <w:tc>
          <w:tcPr>
            <w:tcW w:type="dxa" w:w="6350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percent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是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0.0 – 100.0，也接受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percentage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。越界、非数字或整个文件不是 JSON 对象都会被忽略，进度停在原处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timestamp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否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RFC3339 / RFC3339Nano UTC，建议带微秒。缺失或格式非法时使用文件修改时间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整个文件只会被读取这两个字段，其余字段一律忽略：写了不报错，但不会展示、也不会被使用。进度之外的信息请写进日志。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5.3  写入要求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进度文件会被频繁读取，必须保证任何时刻读到的都是完整内容：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20"/>
        </w:rPr>
        <w:t xml:space="preserve">01  </w:t>
      </w:r>
      <w:r>
        <w:rPr>
          <w:rFonts w:ascii="Calibri" w:hAnsi="Calibri" w:eastAsia="宋体" w:cs="Calibri"/>
          <w:b/>
          <w:i w:val="0"/>
          <w:color w:val="241B17"/>
          <w:sz w:val="24"/>
        </w:rPr>
        <w:t>原子写入。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先写临时文件，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fsync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后再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os.replace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覆盖目标文件。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20"/>
        </w:rPr>
        <w:t xml:space="preserve">02  </w:t>
      </w:r>
      <w:r>
        <w:rPr>
          <w:rFonts w:ascii="Calibri" w:hAnsi="Calibri" w:eastAsia="宋体" w:cs="Calibri"/>
          <w:b/>
          <w:i w:val="0"/>
          <w:color w:val="241B17"/>
          <w:sz w:val="24"/>
        </w:rPr>
        <w:t>单调不回退。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新值不得小于已写入的值，避免进度条跳回。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20"/>
        </w:rPr>
        <w:t xml:space="preserve">03  </w:t>
      </w:r>
      <w:r>
        <w:rPr>
          <w:rFonts w:ascii="Calibri" w:hAnsi="Calibri" w:eastAsia="宋体" w:cs="Calibri"/>
          <w:b/>
          <w:i w:val="0"/>
          <w:color w:val="241B17"/>
          <w:sz w:val="24"/>
        </w:rPr>
        <w:t>限频写入。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建议最小间隔 0.2 秒，且百分比变化小于 0.0001 时跳过。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5.4  参考实现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示例 5-1  进度写入参考实现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9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time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timezone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class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24"/>
              </w:rPr>
              <w:t>ProgressTracker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24"/>
              </w:rPr>
              <w:t>__init__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progress_path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min_interval_seconds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0.2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min_percent_delta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0.0001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progress_path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tmp_path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with_suffix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suffix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".tmp"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parent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mkdir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parents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exist_ok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min_interval_seconds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min_interval_seconds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min_percent_delta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min_percent_delta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-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1.0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_last_write_time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0.0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24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) -&gt;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bool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max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min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100.0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round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float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),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4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&gt;=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24"/>
              </w:rPr>
              <w:t># 单调不回退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max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not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and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&gt;=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elapsed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() -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_last_write_time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abs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-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elapsed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&lt;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min_interval_seconds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and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&lt;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min_percent_delta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return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False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payload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"percent"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now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timezone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utc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strftime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"%Y-%m-%dT%H:%M:%S.%fZ"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with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open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tmp_path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"w"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)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as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data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dumps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payload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indent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write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data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flush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fsync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fileno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replace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tmp_path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)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24"/>
              </w:rPr>
              <w:t># 原子替换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percent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_last_write_time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()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return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True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5.5  进度预算建议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可按任务调整，原则是初始化与收尾都要覆盖，长循环中间要有细粒度变化。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5-2  建议的进度预算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204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区间</w:t>
            </w:r>
          </w:p>
        </w:tc>
        <w:tc>
          <w:tcPr>
            <w:tcW w:type="dxa" w:w="7143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0% – 2%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参数解析、模型构建、损失与优化器、DataLoader 就绪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2% – 96%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按 epoch 均分；epoch 内按 batch 平滑插值；每 epoch 开始、25%、50%、75%、收尾各强制写一次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96% – 100%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数据集统计、写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training_result.json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、完成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tbl>
      <w:tblPr>
        <w:tblW w:type="auto" w:w="0"/>
        <w:jc w:val="left"/>
        <w:tblLayout w:type="fixed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tcBorders>
              <w:left w:val="single" w:sz="18" w:space="0" w:color="8A5A0B"/>
            </w:tcBorders>
            <w:shd w:val="clear" w:color="auto" w:fill="FCF1DC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spacing w:before="0" w:after="0" w:line="336" w:lineRule="auto"/>
              <w:jc w:val="both"/>
            </w:pPr>
            <w:r>
              <w:rPr>
                <w:rFonts w:ascii="微软雅黑" w:hAnsi="微软雅黑" w:eastAsia="微软雅黑" w:cs="微软雅黑"/>
                <w:b/>
                <w:i w:val="0"/>
                <w:color w:val="8A5A0B"/>
                <w:sz w:val="21"/>
              </w:rPr>
              <w:t>注意：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任务结束后进度文件会被清空。若进度长时间不动，平台侧看到的进度条也会停住。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6  生成结果汇总文件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6.1  文件位置与生效条件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结果汇总文件位于产物目录根部，即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/opt/taa/output/result/training_result.json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。进程以退出码 0 结束后，该文件会被读取，并与审计信息、数据校验和合并成最终报告。</w:t>
      </w:r>
      <w:r>
        <w:rPr>
          <w:rFonts w:ascii="Calibri" w:hAnsi="Calibri" w:eastAsia="宋体" w:cs="Calibri"/>
          <w:b/>
          <w:i w:val="0"/>
          <w:color w:val="241B17"/>
          <w:sz w:val="24"/>
        </w:rPr>
        <w:t xml:space="preserve">只有 </w:t>
      </w:r>
      <w:r>
        <w:rPr>
          <w:rFonts w:ascii="Consolas" w:hAnsi="Consolas" w:eastAsia="宋体" w:cs="Consolas"/>
          <w:b/>
          <w:i w:val="0"/>
          <w:color w:val="A8261B"/>
          <w:sz w:val="23"/>
        </w:rPr>
        <w:t>result/</w:t>
      </w:r>
      <w:r>
        <w:rPr>
          <w:rFonts w:ascii="Calibri" w:hAnsi="Calibri" w:eastAsia="宋体" w:cs="Calibri"/>
          <w:b/>
          <w:i w:val="0"/>
          <w:color w:val="241B17"/>
          <w:sz w:val="24"/>
        </w:rPr>
        <w:t xml:space="preserve"> 里的产物会被导出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；进程非 0 退出时产物不会被收集。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6.2  文件格式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9"/>
              </w:rPr>
              <w:t xml:space="preserve">    json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"dataset"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: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"total_samples"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12500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"splits"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: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"train"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10000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"test"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2500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}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}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6.3  采集范围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6-1  被采集的内容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260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位置</w:t>
            </w:r>
          </w:p>
        </w:tc>
        <w:tc>
          <w:tcPr>
            <w:tcW w:type="dxa" w:w="6576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dataset</w:t>
            </w:r>
          </w:p>
        </w:tc>
        <w:tc>
          <w:tcPr>
            <w:tcW w:type="dxa" w:w="6576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数据集规模，常用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total_samples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splits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其他键</w:t>
            </w:r>
          </w:p>
        </w:tc>
        <w:tc>
          <w:tcPr>
            <w:tcW w:type="dxa" w:w="6576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不会进入报告，可以自由增加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6.4  写入示例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示例 6-1  写出结果汇总文件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9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result_path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"training_result.json"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with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open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result_path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"w"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)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as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dump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training_result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indent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write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6.5  失败路径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文件缺失不会导致任务失败，但报告里会缺少数据集规模等信息，事后核对样本量、划分比例只能翻日志，平台也难以按统一口径统计。该文件被采集的内容只有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dataset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。</w:t>
      </w:r>
    </w:p>
    <w:p>
      <w:pPr>
        <w:spacing w:before="0" w:after="160" w:line="360" w:lineRule="auto"/>
        <w:ind w:firstLine="420"/>
        <w:jc w:val="both"/>
      </w:pPr>
      <w:r>
        <w:rPr>
          <w:rFonts w:ascii="Consolas" w:hAnsi="Consolas" w:eastAsia="宋体" w:cs="Consolas"/>
          <w:b w:val="0"/>
          <w:i w:val="0"/>
          <w:color w:val="A8261B"/>
          <w:sz w:val="23"/>
        </w:rPr>
        <w:t>dataset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中的字段建议与平台方协商后确定：字段缺失时报告只是留空，不会报错，因此容易到验收阶段才发现口径对不上。建议在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finally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中写出该文件，使异常退出时也能留下可用的信息；进程非 0 退出时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不会被导出，此时以日志与进度为准。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7  禁止事项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以下行为会导致导出被拒绝或审计结论不通过，接入前请逐项核对：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7-1  禁止事项与后果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4649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行为</w:t>
            </w:r>
          </w:p>
        </w:tc>
        <w:tc>
          <w:tcPr>
            <w:tcW w:type="dxa" w:w="4535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后果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在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/opt/taa/input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下创建、修改、删除文件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违反 TEE 内只读约束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把输入数据原样拷进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result/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（原始图片、CSV、标注文件）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导出前的反泄露检查会比对数据特征，命中即</w:t>
            </w:r>
            <w:r>
              <w:rPr>
                <w:rFonts w:ascii="Calibri" w:hAnsi="Calibri" w:eastAsia="宋体" w:cs="Calibri"/>
                <w:b/>
                <w:i w:val="0"/>
                <w:color w:val="241B17"/>
                <w:sz w:val="21"/>
              </w:rPr>
              <w:t>拒绝导出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在产物中写入明文 PEM 私钥、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SECRET_KEY=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API_KEY=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等环境变量转储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同上，命中明文特征即拒绝导出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任何网络外联（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socket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requests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urllib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httpx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aiohttp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）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代码审计红线，审计结论将判为未通过并上报平台（结论仅供参考，由平台侧处置）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反弹 Shell、提权、危险系统调用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同上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8  常见问题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5"/>
        </w:rPr>
        <w:t>8.1  代码在普通环境调试时也要写这些文件吗？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建议保持一致。用 3.3 节的环境变量把目录指向本地临时目录即可，读写方式与 TEE 内完全相同，便于提前发现格式问题。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5"/>
        </w:rPr>
        <w:t>8.2  日志可以直接打印到标准输出吗？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可以用于本地调试，但平台只读取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log/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目录下的文件。正式运行必须把日志落到文件，同时打印到控制台不影响使用。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5"/>
        </w:rPr>
        <w:t>8.3  一次运行写了多个日志文件会怎样？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目录下所有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*.jsonl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*.log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都会被读取，可以按阶段拆分文件。但不要重写或截断已经写过的内容，否则会被当作新文件重新读取。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5"/>
        </w:rPr>
        <w:t>8.4  进度长时间不动会怎样？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平台显示的进度会停在最后一次成功读取的值。进度文件被删除、内容非法或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percent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越界时，同样停留在原处。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5"/>
        </w:rPr>
        <w:t xml:space="preserve">8.5  训练中途失败，还要写 </w:t>
      </w:r>
      <w:r>
        <w:rPr>
          <w:rFonts w:ascii="Consolas" w:hAnsi="Consolas" w:eastAsia="微软雅黑" w:cs="Consolas"/>
          <w:b/>
          <w:i w:val="0"/>
          <w:color w:val="A8261B"/>
          <w:sz w:val="24"/>
        </w:rPr>
        <w:t>training_result.json</w:t>
      </w:r>
      <w:r>
        <w:rPr>
          <w:rFonts w:ascii="微软雅黑" w:hAnsi="微软雅黑" w:eastAsia="微软雅黑" w:cs="微软雅黑"/>
          <w:b/>
          <w:i w:val="0"/>
          <w:color w:val="241B17"/>
          <w:sz w:val="25"/>
        </w:rPr>
        <w:t xml:space="preserve"> 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应在退出前尽量写出。进程非 0 退出时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不会被导出，但保留该文件便于排查；失败信息同时写进日志与进度，平台侧才能看到。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5"/>
        </w:rPr>
        <w:t xml:space="preserve">8.6  可以把中间 checkpoint 写在 </w:t>
      </w:r>
      <w:r>
        <w:rPr>
          <w:rFonts w:ascii="Consolas" w:hAnsi="Consolas" w:eastAsia="微软雅黑" w:cs="Consolas"/>
          <w:b/>
          <w:i w:val="0"/>
          <w:color w:val="A8261B"/>
          <w:sz w:val="24"/>
        </w:rPr>
        <w:t>result/</w:t>
      </w:r>
      <w:r>
        <w:rPr>
          <w:rFonts w:ascii="微软雅黑" w:hAnsi="微软雅黑" w:eastAsia="微软雅黑" w:cs="微软雅黑"/>
          <w:b/>
          <w:i w:val="0"/>
          <w:color w:val="241B17"/>
          <w:sz w:val="25"/>
        </w:rPr>
        <w:t xml:space="preserve"> 下吗？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可以，但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下的文件都会被导出，体积越大导出耗时越长。只放需要交付的文件，中间产物写到别处或不保留。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9  上传前检查清单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上传前，请逐项确认以下内容：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5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输入目录只读，代码中没有任何指向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/opt/taa/input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的写操作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5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所有需要交付导出的文件都写在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/opt/taa/output/result/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下，没有散落在别处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5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路径按绝对路径书写，没有写成相对路径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5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日志写在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/opt/taa/output/log/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，每行以换行符结尾，只追加不重写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5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进度原子写入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/opt/taa/output/progress/progress.json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，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percent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在 0–100 之间且单调不回退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5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结束前写出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/opt/taa/output/result/training_result.json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，含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dataset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5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失败路径同样写出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training_result.json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，或至少保证日志与进度可用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5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产物中没有原始数据副本、密钥、环境变量转储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5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代码中不存在任何网络调用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附录 A  关键路径速查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A-1  关键路径与格式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  <w:cantSplit w:val="true"/>
        </w:trPr>
        <w:tc>
          <w:tcPr>
            <w:tcW w:type="dxa" w:w="158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项目</w:t>
            </w:r>
          </w:p>
        </w:tc>
        <w:tc>
          <w:tcPr>
            <w:tcW w:type="dxa" w:w="340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路径</w:t>
            </w:r>
          </w:p>
        </w:tc>
        <w:tc>
          <w:tcPr>
            <w:tcW w:type="dxa" w:w="260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格式</w:t>
            </w:r>
          </w:p>
        </w:tc>
        <w:tc>
          <w:tcPr>
            <w:tcW w:type="dxa" w:w="158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备注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运行日志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/opt/taa/output/log/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*.jsonl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*.log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，每行一个 JSON 对象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建议写，不导出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训练进度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/opt/taa/output/progress/progress.json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JSON 对象，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percent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为 0–100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建议写，不导出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结果汇总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/opt/taa/output/result/training_result.json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JSON 对象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建议写，并入最终报告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交付产物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/opt/taa/output/result/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任意文件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会被导出，注意体积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附录 B  端到端示例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下面的骨架把三类输出串在一起，可作为改造既有代码的起点：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示例 B-1  端到端骨架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9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json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pathlib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INPUT_DIR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"/opt/taa/input"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"/opt/taa/output"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"result"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"log"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"progress"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"progress.json"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24"/>
              </w:rPr>
              <w:t>train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150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ModelLogger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ProgressTracker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1.0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try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model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loader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build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INPUT_DIR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)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24"/>
              </w:rPr>
              <w:t># 只读输入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for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in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range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loss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run_epoch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model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loader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log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"[Train] Epoch %d/%d loss: %.4f"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           % 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loss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2.0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94.0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*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report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"dataset"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: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"total_samples"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loader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dataset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text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dumps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report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indent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"training_result.json"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write_text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text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100.0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finally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: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close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()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其中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ModelLogger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见示例 4-1，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ProgressTracker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见示例 5-1；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build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run_epoch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是需要自行实现的模型代码，此处仅为示意。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361" w:bottom="1304" w:left="1361" w:header="652" w:footer="65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Borders>
        <w:top w:val="nil" w:sz="4" w:space="0" w:color="E9DAD2"/>
        <w:left w:val="nil" w:sz="4" w:space="0" w:color="E9DAD2"/>
        <w:bottom w:val="nil" w:sz="4" w:space="0" w:color="E9DAD2"/>
        <w:right w:val="nil" w:sz="4" w:space="0" w:color="E9DAD2"/>
        <w:insideH w:val="nil" w:sz="4" w:space="0" w:color="E9DAD2"/>
        <w:insideV w:val="nil" w:sz="4" w:space="0" w:color="E9DAD2"/>
      </w:tblBorders>
      <w:tblLayout w:type="fixed"/>
      <w:tblLayout w:type="fixed"/>
      <w:tblCellMar>
        <w:top w:w="5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592"/>
      <w:gridCol w:w="4592"/>
    </w:tblGrid>
    <w:tr>
      <w:tc>
        <w:tcPr>
          <w:tcW w:type="dxa" w:w="4876"/>
          <w:tcBorders>
            <w:top w:val="single" w:sz="4" w:space="0" w:color="E9DAD2"/>
          </w:tcBorders>
        </w:tcPr>
        <w:p>
          <w:pPr>
            <w:spacing w:before="0" w:after="0"/>
          </w:pPr>
          <w:r>
            <w:rPr>
              <w:rFonts w:ascii="微软雅黑" w:hAnsi="微软雅黑" w:eastAsia="微软雅黑" w:cs="微软雅黑"/>
              <w:b w:val="0"/>
              <w:i w:val="0"/>
              <w:color w:val="9B8A82"/>
              <w:sz w:val="16"/>
            </w:rPr>
            <w:t>纽创信安（OSR）</w:t>
          </w:r>
        </w:p>
      </w:tc>
      <w:tc>
        <w:tcPr>
          <w:tcW w:type="dxa" w:w="4309"/>
          <w:tcBorders>
            <w:top w:val="single" w:sz="4" w:space="0" w:color="E9DAD2"/>
          </w:tcBorders>
        </w:tcPr>
        <w:p>
          <w:pPr>
            <w:spacing w:before="0" w:after="0"/>
            <w:jc w:val="right"/>
          </w:pPr>
          <w:r>
            <w:rPr>
              <w:rFonts w:ascii="Calibri" w:hAnsi="Calibri" w:eastAsia="宋体" w:cs="Calibri"/>
              <w:b w:val="0"/>
              <w:i w:val="0"/>
              <w:color w:val="9B8A82"/>
              <w:sz w:val="16"/>
            </w:rPr>
            <w:t xml:space="preserve">第 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begin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instrText xml:space="preserve">  PAGE  </w:instrTex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separate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t>1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end"/>
          </w:r>
          <w:r>
            <w:rPr>
              <w:rFonts w:ascii="Calibri" w:hAnsi="Calibri" w:eastAsia="宋体" w:cs="Calibri"/>
              <w:b w:val="0"/>
              <w:i w:val="0"/>
              <w:color w:val="9B8A82"/>
              <w:sz w:val="16"/>
            </w:rPr>
            <w:t xml:space="preserve"> 页 共 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begin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instrText xml:space="preserve">  NUMPAGES  </w:instrTex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separate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t>14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end"/>
          </w:r>
          <w:r>
            <w:rPr>
              <w:rFonts w:ascii="Calibri" w:hAnsi="Calibri" w:eastAsia="宋体" w:cs="Calibri"/>
              <w:b w:val="0"/>
              <w:i w:val="0"/>
              <w:color w:val="9B8A82"/>
              <w:sz w:val="16"/>
            </w:rPr>
            <w:t xml:space="preserve"> 页</w:t>
          </w:r>
        </w:p>
      </w:tc>
    </w:tr>
  </w:tbl>
  <w:p>
    <w:pPr>
      <w:spacing w:before="0" w:after="0" w:line="240" w:lineRule="auto"/>
    </w:pPr>
    <w:r>
      <w:rPr>
        <w:rFonts w:ascii="Calibri" w:hAnsi="Calibri" w:eastAsia="宋体" w:cs="Calibri"/>
        <w:b w:val="0"/>
        <w:i w:val="0"/>
        <w:color w:val="241B17"/>
        <w:sz w:val="2"/>
      </w:rPr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Borders>
        <w:top w:val="nil" w:sz="4" w:space="0" w:color="E9DAD2"/>
        <w:left w:val="nil" w:sz="4" w:space="0" w:color="E9DAD2"/>
        <w:bottom w:val="nil" w:sz="4" w:space="0" w:color="E9DAD2"/>
        <w:right w:val="nil" w:sz="4" w:space="0" w:color="E9DAD2"/>
        <w:insideH w:val="nil" w:sz="4" w:space="0" w:color="E9DAD2"/>
        <w:insideV w:val="nil" w:sz="4" w:space="0" w:color="E9DAD2"/>
      </w:tblBorders>
      <w:tblLayout w:type="fixed"/>
      <w:tblLayout w:type="fixed"/>
      <w:tblCellMar>
        <w:top w:w="0" w:type="dxa"/>
        <w:left w:w="0" w:type="dxa"/>
        <w:bottom w:w="60" w:type="dxa"/>
        <w:right w:w="0" w:type="dxa"/>
      </w:tblCellMar>
      <w:tblLook w:firstColumn="1" w:firstRow="1" w:lastColumn="0" w:lastRow="0" w:noHBand="0" w:noVBand="1" w:val="04A0"/>
    </w:tblPr>
    <w:tblGrid>
      <w:gridCol w:w="4592"/>
      <w:gridCol w:w="4592"/>
    </w:tblGrid>
    <w:tr>
      <w:tc>
        <w:tcPr>
          <w:tcW w:type="dxa" w:w="4309"/>
          <w:tcBorders>
            <w:bottom w:val="single" w:sz="4" w:space="0" w:color="E9DAD2"/>
          </w:tcBorders>
        </w:tcPr>
        <w:p>
          <w:pPr>
            <w:spacing w:before="0" w:after="40" w:line="240" w:lineRule="auto"/>
          </w:pPr>
          <w:r>
            <w:drawing>
              <wp:inline xmlns:a="http://schemas.openxmlformats.org/drawingml/2006/main" xmlns:pic="http://schemas.openxmlformats.org/drawingml/2006/picture">
                <wp:extent cx="1116000" cy="335639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xhlog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16000" cy="33563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76"/>
          <w:tcBorders>
            <w:bottom w:val="single" w:sz="4" w:space="0" w:color="E9DAD2"/>
          </w:tcBorders>
        </w:tcPr>
        <w:p>
          <w:pPr>
            <w:spacing w:before="0" w:after="40" w:line="240" w:lineRule="auto"/>
            <w:jc w:val="right"/>
          </w:pPr>
          <w:r>
            <w:rPr>
              <w:rFonts w:ascii="微软雅黑" w:hAnsi="微软雅黑" w:eastAsia="微软雅黑" w:cs="微软雅黑"/>
              <w:b w:val="0"/>
              <w:i w:val="0"/>
              <w:color w:val="6B5B54"/>
              <w:sz w:val="17"/>
            </w:rPr>
            <w:t>TAA 模型提供方用户手册  ·  V1.0</w:t>
          </w:r>
        </w:p>
      </w:tc>
    </w:tr>
  </w:tbl>
  <w:p>
    <w:pPr>
      <w:spacing w:before="0" w:after="0" w:line="240" w:lineRule="auto"/>
    </w:pPr>
    <w:r>
      <w:rPr>
        <w:rFonts w:ascii="Calibri" w:hAnsi="Calibri" w:eastAsia="宋体" w:cs="Calibri"/>
        <w:b w:val="0"/>
        <w:i w:val="0"/>
        <w:color w:val="241B17"/>
        <w:sz w:val="2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Calibri" w:hAnsi="Calibri" w:eastAsia="宋体"/>
      <w:color w:val="241B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241B1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241B17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241B1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TAA 模型提供方用户手册</dc:title>
  <dc:subject>模型代码的文件读写约定</dc:subject>
  <dc:creator>纽创信安（OSR）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