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2167" w14:textId="66EB2C0F" w:rsidR="001E6CDE" w:rsidRPr="001E6CDE" w:rsidRDefault="001E6CDE" w:rsidP="001E6CDE">
      <w:pPr>
        <w:jc w:val="left"/>
      </w:pPr>
      <w:r w:rsidRPr="001E6CDE">
        <w:rPr>
          <w:i/>
          <w:iCs/>
        </w:rPr>
        <w:t>Enabling Solar PV Integration into Competitive Energy Markets through Next-Day Forecasting</w:t>
      </w:r>
    </w:p>
    <w:p w14:paraId="4D832643" w14:textId="77777777" w:rsidR="001E6CDE" w:rsidRPr="001E6CDE" w:rsidRDefault="001E6CDE" w:rsidP="001E6CDE">
      <w:pPr>
        <w:rPr>
          <w:b/>
          <w:bCs/>
        </w:rPr>
      </w:pPr>
      <w:r w:rsidRPr="001E6CDE">
        <w:rPr>
          <w:b/>
          <w:bCs/>
        </w:rPr>
        <w:t>Objective of the Analysis</w:t>
      </w:r>
    </w:p>
    <w:p w14:paraId="3B5FBAE0" w14:textId="77777777" w:rsidR="001E6CDE" w:rsidRPr="001E6CDE" w:rsidRDefault="001E6CDE" w:rsidP="001E6CDE">
      <w:r w:rsidRPr="001E6CDE">
        <w:t>Complete the comparative evaluation of three forecasting models using real production and weather data to determine the most accurate next-day solar PV generation prediction approach.</w:t>
      </w:r>
    </w:p>
    <w:p w14:paraId="6C2FDC9A" w14:textId="77777777" w:rsidR="001E6CDE" w:rsidRPr="001E6CDE" w:rsidRDefault="001E6CDE" w:rsidP="001E6CDE">
      <w:pPr>
        <w:rPr>
          <w:b/>
          <w:bCs/>
        </w:rPr>
      </w:pPr>
      <w:r w:rsidRPr="001E6CDE">
        <w:rPr>
          <w:b/>
          <w:bCs/>
        </w:rPr>
        <w:t>Data</w:t>
      </w:r>
    </w:p>
    <w:p w14:paraId="032EFA75" w14:textId="77777777" w:rsidR="001E6CDE" w:rsidRPr="001E6CDE" w:rsidRDefault="001E6CDE" w:rsidP="001E6CDE">
      <w:pPr>
        <w:numPr>
          <w:ilvl w:val="0"/>
          <w:numId w:val="1"/>
        </w:numPr>
      </w:pPr>
      <w:r w:rsidRPr="001E6CDE">
        <w:t>PV inverter production data: January 2024 – March 2025</w:t>
      </w:r>
    </w:p>
    <w:p w14:paraId="3C4B0D61" w14:textId="77777777" w:rsidR="001E6CDE" w:rsidRPr="001E6CDE" w:rsidRDefault="001E6CDE" w:rsidP="001E6CDE">
      <w:pPr>
        <w:numPr>
          <w:ilvl w:val="0"/>
          <w:numId w:val="1"/>
        </w:numPr>
      </w:pPr>
      <w:r w:rsidRPr="001E6CDE">
        <w:t>Weather data: NASA POWER (irradiance, temperature, wind speed, humidity)</w:t>
      </w:r>
    </w:p>
    <w:p w14:paraId="264D28E5" w14:textId="77777777" w:rsidR="001E6CDE" w:rsidRPr="001E6CDE" w:rsidRDefault="001E6CDE" w:rsidP="001E6CDE">
      <w:pPr>
        <w:numPr>
          <w:ilvl w:val="0"/>
          <w:numId w:val="1"/>
        </w:numPr>
      </w:pPr>
      <w:r w:rsidRPr="001E6CDE">
        <w:t>Single synchronized master dataset</w:t>
      </w:r>
    </w:p>
    <w:p w14:paraId="79269DD3" w14:textId="77777777" w:rsidR="001E6CDE" w:rsidRPr="001E6CDE" w:rsidRDefault="001E6CDE" w:rsidP="001E6CDE">
      <w:pPr>
        <w:numPr>
          <w:ilvl w:val="0"/>
          <w:numId w:val="1"/>
        </w:numPr>
      </w:pPr>
      <w:r w:rsidRPr="001E6CDE">
        <w:t>Same dataset used for all models</w:t>
      </w:r>
    </w:p>
    <w:p w14:paraId="5A84F72C" w14:textId="77777777" w:rsidR="001E6CDE" w:rsidRDefault="001E6CDE" w:rsidP="001E6CDE">
      <w:pPr>
        <w:rPr>
          <w:b/>
          <w:bCs/>
        </w:rPr>
      </w:pPr>
      <w:r w:rsidRPr="001E6CDE">
        <w:rPr>
          <w:b/>
          <w:bCs/>
        </w:rPr>
        <w:t>Models to Implement</w:t>
      </w:r>
    </w:p>
    <w:p w14:paraId="16604EBE" w14:textId="77777777" w:rsidR="00561F4C" w:rsidRPr="00561F4C" w:rsidRDefault="00561F4C" w:rsidP="00561F4C">
      <w:pPr>
        <w:numPr>
          <w:ilvl w:val="0"/>
          <w:numId w:val="6"/>
        </w:numPr>
      </w:pPr>
      <w:r w:rsidRPr="00561F4C">
        <w:t xml:space="preserve">SARIMAX </w:t>
      </w:r>
    </w:p>
    <w:p w14:paraId="07B9819B" w14:textId="77777777" w:rsidR="00561F4C" w:rsidRPr="00561F4C" w:rsidRDefault="00561F4C" w:rsidP="00561F4C">
      <w:pPr>
        <w:numPr>
          <w:ilvl w:val="0"/>
          <w:numId w:val="6"/>
        </w:numPr>
      </w:pPr>
      <w:r w:rsidRPr="00561F4C">
        <w:t xml:space="preserve">XGBoost </w:t>
      </w:r>
    </w:p>
    <w:p w14:paraId="72ADBBB9" w14:textId="77777777" w:rsidR="00561F4C" w:rsidRPr="00561F4C" w:rsidRDefault="00561F4C" w:rsidP="00561F4C">
      <w:pPr>
        <w:numPr>
          <w:ilvl w:val="0"/>
          <w:numId w:val="6"/>
        </w:numPr>
      </w:pPr>
      <w:r w:rsidRPr="00561F4C">
        <w:t xml:space="preserve">Prophet </w:t>
      </w:r>
    </w:p>
    <w:p w14:paraId="0E078CB0" w14:textId="77777777" w:rsidR="00561F4C" w:rsidRPr="00561F4C" w:rsidRDefault="00561F4C" w:rsidP="00561F4C">
      <w:r w:rsidRPr="00561F4C">
        <w:t>The three standalone models shall first be evaluated using the same test dataset and performance metrics. The two best-performing standalone models shall then be selected for hybridization.</w:t>
      </w:r>
    </w:p>
    <w:p w14:paraId="52AD05BE" w14:textId="77777777" w:rsidR="00561F4C" w:rsidRPr="00561F4C" w:rsidRDefault="00561F4C" w:rsidP="00561F4C">
      <w:pPr>
        <w:jc w:val="left"/>
        <w:rPr>
          <w:b/>
          <w:bCs/>
        </w:rPr>
      </w:pPr>
      <w:r w:rsidRPr="00561F4C">
        <w:t>Two hybrid configurations shall be developed by reversing the primary and residual/correction roles of the selected models. For example, if XGBoost and Prophet are the two best standalone models:</w:t>
      </w:r>
      <w:r w:rsidRPr="00561F4C">
        <w:rPr>
          <w:b/>
          <w:bCs/>
        </w:rPr>
        <w:br/>
        <w:t>4. XGBoost–Prophet Hybrid</w:t>
      </w:r>
      <w:r w:rsidRPr="00561F4C">
        <w:rPr>
          <w:b/>
          <w:bCs/>
        </w:rPr>
        <w:br/>
        <w:t>5. Prophet–XGBoost Hybrid</w:t>
      </w:r>
    </w:p>
    <w:p w14:paraId="556E6EBB" w14:textId="77777777" w:rsidR="001E6CDE" w:rsidRPr="001E6CDE" w:rsidRDefault="001E6CDE" w:rsidP="001E6CDE">
      <w:pPr>
        <w:rPr>
          <w:b/>
          <w:bCs/>
        </w:rPr>
      </w:pPr>
      <w:r w:rsidRPr="001E6CDE">
        <w:rPr>
          <w:b/>
          <w:bCs/>
        </w:rPr>
        <w:lastRenderedPageBreak/>
        <w:t>Training &amp; Testing Structure</w:t>
      </w:r>
    </w:p>
    <w:p w14:paraId="089AD3D4" w14:textId="77777777" w:rsidR="001E6CDE" w:rsidRPr="001E6CDE" w:rsidRDefault="001E6CDE" w:rsidP="001E6CDE">
      <w:pPr>
        <w:numPr>
          <w:ilvl w:val="0"/>
          <w:numId w:val="3"/>
        </w:numPr>
      </w:pPr>
      <w:r w:rsidRPr="001E6CDE">
        <w:t>Train models using historical data (Jan 2024 – Feb 2025)</w:t>
      </w:r>
    </w:p>
    <w:p w14:paraId="36BD21F7" w14:textId="77777777" w:rsidR="001E6CDE" w:rsidRPr="001E6CDE" w:rsidRDefault="001E6CDE" w:rsidP="001E6CDE">
      <w:pPr>
        <w:numPr>
          <w:ilvl w:val="0"/>
          <w:numId w:val="3"/>
        </w:numPr>
      </w:pPr>
      <w:r w:rsidRPr="001E6CDE">
        <w:t>Test on one unseen week in March 2025</w:t>
      </w:r>
    </w:p>
    <w:p w14:paraId="10CCD22E" w14:textId="77777777" w:rsidR="001E6CDE" w:rsidRPr="001E6CDE" w:rsidRDefault="001E6CDE" w:rsidP="001E6CDE">
      <w:pPr>
        <w:numPr>
          <w:ilvl w:val="0"/>
          <w:numId w:val="3"/>
        </w:numPr>
      </w:pPr>
      <w:r w:rsidRPr="001E6CDE">
        <w:t>Use rolling next-day forecasting approach</w:t>
      </w:r>
    </w:p>
    <w:p w14:paraId="1CA7F333" w14:textId="77777777" w:rsidR="001E6CDE" w:rsidRPr="001E6CDE" w:rsidRDefault="001E6CDE" w:rsidP="001E6CDE">
      <w:pPr>
        <w:numPr>
          <w:ilvl w:val="0"/>
          <w:numId w:val="3"/>
        </w:numPr>
      </w:pPr>
      <w:r w:rsidRPr="001E6CDE">
        <w:t>No data leakage</w:t>
      </w:r>
    </w:p>
    <w:p w14:paraId="41E279BE" w14:textId="77777777" w:rsidR="001E6CDE" w:rsidRPr="001E6CDE" w:rsidRDefault="001E6CDE" w:rsidP="001E6CDE">
      <w:pPr>
        <w:rPr>
          <w:b/>
          <w:bCs/>
        </w:rPr>
      </w:pPr>
      <w:r w:rsidRPr="001E6CDE">
        <w:rPr>
          <w:b/>
          <w:bCs/>
        </w:rPr>
        <w:t>Evaluation Metrics (Same for all models)</w:t>
      </w:r>
    </w:p>
    <w:p w14:paraId="28654491" w14:textId="77777777" w:rsidR="001E6CDE" w:rsidRPr="001E6CDE" w:rsidRDefault="001E6CDE" w:rsidP="001E6CDE">
      <w:pPr>
        <w:numPr>
          <w:ilvl w:val="0"/>
          <w:numId w:val="4"/>
        </w:numPr>
      </w:pPr>
      <w:r w:rsidRPr="001E6CDE">
        <w:t>MAE</w:t>
      </w:r>
    </w:p>
    <w:p w14:paraId="500440A6" w14:textId="77777777" w:rsidR="001E6CDE" w:rsidRPr="001E6CDE" w:rsidRDefault="001E6CDE" w:rsidP="001E6CDE">
      <w:pPr>
        <w:numPr>
          <w:ilvl w:val="0"/>
          <w:numId w:val="4"/>
        </w:numPr>
      </w:pPr>
      <w:r w:rsidRPr="001E6CDE">
        <w:t>RMSE</w:t>
      </w:r>
    </w:p>
    <w:p w14:paraId="4E30EF34" w14:textId="77777777" w:rsidR="001E6CDE" w:rsidRPr="001E6CDE" w:rsidRDefault="001E6CDE" w:rsidP="001E6CDE">
      <w:pPr>
        <w:numPr>
          <w:ilvl w:val="0"/>
          <w:numId w:val="4"/>
        </w:numPr>
      </w:pPr>
      <w:r w:rsidRPr="001E6CDE">
        <w:t>sMAPE (or daytime MAPE)</w:t>
      </w:r>
    </w:p>
    <w:p w14:paraId="465581FF" w14:textId="77777777" w:rsidR="001E6CDE" w:rsidRPr="001E6CDE" w:rsidRDefault="001E6CDE" w:rsidP="001E6CDE">
      <w:pPr>
        <w:numPr>
          <w:ilvl w:val="0"/>
          <w:numId w:val="4"/>
        </w:numPr>
      </w:pPr>
      <w:r w:rsidRPr="001E6CDE">
        <w:t>R² (optional)</w:t>
      </w:r>
    </w:p>
    <w:p w14:paraId="5968E0E3" w14:textId="77777777" w:rsidR="001E6CDE" w:rsidRPr="001E6CDE" w:rsidRDefault="001E6CDE" w:rsidP="001E6CDE">
      <w:r w:rsidRPr="001E6CDE">
        <w:t>All metrics computed on the same test week.</w:t>
      </w:r>
    </w:p>
    <w:p w14:paraId="325A9608" w14:textId="77777777" w:rsidR="001E6CDE" w:rsidRPr="001E6CDE" w:rsidRDefault="001E6CDE" w:rsidP="001E6CDE">
      <w:pPr>
        <w:rPr>
          <w:b/>
          <w:bCs/>
        </w:rPr>
      </w:pPr>
      <w:r w:rsidRPr="001E6CDE">
        <w:rPr>
          <w:b/>
          <w:bCs/>
        </w:rPr>
        <w:t>Required Outputs</w:t>
      </w:r>
    </w:p>
    <w:p w14:paraId="583A8CEB" w14:textId="77777777" w:rsidR="001E6CDE" w:rsidRPr="001E6CDE" w:rsidRDefault="001E6CDE" w:rsidP="001E6CDE">
      <w:pPr>
        <w:numPr>
          <w:ilvl w:val="0"/>
          <w:numId w:val="5"/>
        </w:numPr>
      </w:pPr>
      <w:r w:rsidRPr="001E6CDE">
        <w:t>Model performance comparison table</w:t>
      </w:r>
    </w:p>
    <w:p w14:paraId="593CEF4F" w14:textId="77777777" w:rsidR="001E6CDE" w:rsidRPr="001E6CDE" w:rsidRDefault="001E6CDE" w:rsidP="001E6CDE">
      <w:pPr>
        <w:numPr>
          <w:ilvl w:val="0"/>
          <w:numId w:val="5"/>
        </w:numPr>
      </w:pPr>
      <w:r w:rsidRPr="001E6CDE">
        <w:t>Actual vs Predicted plots (test week)</w:t>
      </w:r>
    </w:p>
    <w:p w14:paraId="11B57EAC" w14:textId="77777777" w:rsidR="001E6CDE" w:rsidRPr="001E6CDE" w:rsidRDefault="001E6CDE" w:rsidP="001E6CDE">
      <w:pPr>
        <w:numPr>
          <w:ilvl w:val="0"/>
          <w:numId w:val="5"/>
        </w:numPr>
      </w:pPr>
      <w:r w:rsidRPr="001E6CDE">
        <w:t>Error comparison chart</w:t>
      </w:r>
    </w:p>
    <w:p w14:paraId="74F6FA61" w14:textId="77777777" w:rsidR="00CB6647" w:rsidRDefault="00CB6647" w:rsidP="00CB6647">
      <w:pPr>
        <w:rPr>
          <w:b/>
          <w:bCs/>
        </w:rPr>
      </w:pPr>
      <w:r w:rsidRPr="00CB6647">
        <w:rPr>
          <w:b/>
          <w:bCs/>
        </w:rPr>
        <w:t xml:space="preserve">Final Goal: </w:t>
      </w:r>
    </w:p>
    <w:p w14:paraId="2A34D7A6" w14:textId="38DC42AF" w:rsidR="00B124A2" w:rsidRDefault="00CB6647" w:rsidP="00CB6647">
      <w:r w:rsidRPr="00CB6647">
        <w:t>Rank the five forecasting approaches according to their next-day prediction performance and identify the best-performing model. The first-ranked model shall be carried forward to Objective 2 for quantification of forecast uncertainty.</w:t>
      </w:r>
    </w:p>
    <w:p w14:paraId="5818575C" w14:textId="77777777" w:rsidR="00CB6647" w:rsidRPr="00CB6647" w:rsidRDefault="00CB6647" w:rsidP="00CB6647"/>
    <w:sectPr w:rsidR="00CB6647" w:rsidRPr="00CB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6126"/>
    <w:multiLevelType w:val="multilevel"/>
    <w:tmpl w:val="9492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176A82"/>
    <w:multiLevelType w:val="multilevel"/>
    <w:tmpl w:val="AF1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3D6D"/>
    <w:multiLevelType w:val="multilevel"/>
    <w:tmpl w:val="2F98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07128"/>
    <w:multiLevelType w:val="multilevel"/>
    <w:tmpl w:val="AA44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A456E"/>
    <w:multiLevelType w:val="multilevel"/>
    <w:tmpl w:val="AE0C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77997"/>
    <w:multiLevelType w:val="multilevel"/>
    <w:tmpl w:val="DE88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32048">
    <w:abstractNumId w:val="5"/>
  </w:num>
  <w:num w:numId="2" w16cid:durableId="1237785772">
    <w:abstractNumId w:val="3"/>
  </w:num>
  <w:num w:numId="3" w16cid:durableId="2134254065">
    <w:abstractNumId w:val="1"/>
  </w:num>
  <w:num w:numId="4" w16cid:durableId="953974055">
    <w:abstractNumId w:val="4"/>
  </w:num>
  <w:num w:numId="5" w16cid:durableId="1582760620">
    <w:abstractNumId w:val="0"/>
  </w:num>
  <w:num w:numId="6" w16cid:durableId="1159879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DE"/>
    <w:rsid w:val="00100491"/>
    <w:rsid w:val="001E6CDE"/>
    <w:rsid w:val="003D4ECE"/>
    <w:rsid w:val="004004A6"/>
    <w:rsid w:val="00561F4C"/>
    <w:rsid w:val="007F7FA3"/>
    <w:rsid w:val="00A96DA0"/>
    <w:rsid w:val="00B124A2"/>
    <w:rsid w:val="00BB56AD"/>
    <w:rsid w:val="00CB6647"/>
    <w:rsid w:val="00E0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652FB"/>
  <w15:chartTrackingRefBased/>
  <w15:docId w15:val="{B71A42EE-2EA9-41BA-8652-EFC3CA6C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4A2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D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DE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 Lubanga</dc:creator>
  <cp:keywords/>
  <dc:description/>
  <cp:lastModifiedBy>Dennis  Lubanga</cp:lastModifiedBy>
  <cp:revision>2</cp:revision>
  <dcterms:created xsi:type="dcterms:W3CDTF">2026-09-21T10:17:00Z</dcterms:created>
  <dcterms:modified xsi:type="dcterms:W3CDTF">2026-09-21T10:17:00Z</dcterms:modified>
</cp:coreProperties>
</file>