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3269B" w14:textId="77777777" w:rsidR="000B1597" w:rsidRPr="000B1597" w:rsidRDefault="000B1597" w:rsidP="000B1597">
      <w:pPr>
        <w:rPr>
          <w:b/>
          <w:bCs/>
        </w:rPr>
      </w:pPr>
      <w:r w:rsidRPr="000B1597">
        <w:rPr>
          <w:b/>
          <w:bCs/>
        </w:rPr>
        <w:t>Objective 2 — Quantification of Next-Day Forecast Uncertainty</w:t>
      </w:r>
    </w:p>
    <w:p w14:paraId="4F8CC8AC" w14:textId="77777777" w:rsidR="000B1597" w:rsidRPr="000B1597" w:rsidRDefault="000B1597" w:rsidP="000B1597">
      <w:r w:rsidRPr="000B1597">
        <w:rPr>
          <w:b/>
          <w:bCs/>
        </w:rPr>
        <w:t>Objective of the Analysis</w:t>
      </w:r>
    </w:p>
    <w:p w14:paraId="66FB4972" w14:textId="77777777" w:rsidR="000B1597" w:rsidRPr="000B1597" w:rsidRDefault="000B1597" w:rsidP="000B1597">
      <w:r w:rsidRPr="000B1597">
        <w:t xml:space="preserve">Quantify the uncertainty associated with the </w:t>
      </w:r>
      <w:r w:rsidRPr="000B1597">
        <w:rPr>
          <w:b/>
          <w:bCs/>
        </w:rPr>
        <w:t>best-performing next-day solar PV forecasting model identified under Objective 1</w:t>
      </w:r>
      <w:r w:rsidRPr="000B1597">
        <w:t>, using the differences between forecast and actual measured PV generation.</w:t>
      </w:r>
    </w:p>
    <w:p w14:paraId="513D87E2" w14:textId="77777777" w:rsidR="000B1597" w:rsidRPr="000B1597" w:rsidRDefault="000B1597" w:rsidP="000B1597">
      <w:r w:rsidRPr="000B1597">
        <w:rPr>
          <w:b/>
          <w:bCs/>
        </w:rPr>
        <w:t>Data</w:t>
      </w:r>
    </w:p>
    <w:p w14:paraId="4092D167" w14:textId="77777777" w:rsidR="000B1597" w:rsidRPr="000B1597" w:rsidRDefault="000B1597" w:rsidP="000B1597">
      <w:pPr>
        <w:numPr>
          <w:ilvl w:val="0"/>
          <w:numId w:val="1"/>
        </w:numPr>
      </w:pPr>
      <w:r w:rsidRPr="000B1597">
        <w:t xml:space="preserve">Actual measured PV generation for the out-of-sample evaluation period. </w:t>
      </w:r>
    </w:p>
    <w:p w14:paraId="5B783043" w14:textId="77777777" w:rsidR="000B1597" w:rsidRPr="000B1597" w:rsidRDefault="000B1597" w:rsidP="000B1597">
      <w:pPr>
        <w:numPr>
          <w:ilvl w:val="0"/>
          <w:numId w:val="1"/>
        </w:numPr>
      </w:pPr>
      <w:r w:rsidRPr="000B1597">
        <w:t xml:space="preserve">Corresponding next-day predictions from the </w:t>
      </w:r>
      <w:r w:rsidRPr="000B1597">
        <w:rPr>
          <w:b/>
          <w:bCs/>
        </w:rPr>
        <w:t>1st-ranked forecasting model from Objective 1</w:t>
      </w:r>
      <w:r w:rsidRPr="000B1597">
        <w:t xml:space="preserve">. </w:t>
      </w:r>
    </w:p>
    <w:p w14:paraId="2CE05DFF" w14:textId="77777777" w:rsidR="000B1597" w:rsidRPr="000B1597" w:rsidRDefault="000B1597" w:rsidP="000B1597">
      <w:pPr>
        <w:numPr>
          <w:ilvl w:val="0"/>
          <w:numId w:val="1"/>
        </w:numPr>
      </w:pPr>
      <w:r w:rsidRPr="000B1597">
        <w:t xml:space="preserve">Forecast and actual values must correspond to the same timestamps and forecasting intervals. </w:t>
      </w:r>
    </w:p>
    <w:p w14:paraId="3682C971" w14:textId="77777777" w:rsidR="000B1597" w:rsidRPr="000B1597" w:rsidRDefault="000B1597" w:rsidP="000B1597">
      <w:pPr>
        <w:numPr>
          <w:ilvl w:val="0"/>
          <w:numId w:val="1"/>
        </w:numPr>
      </w:pPr>
      <w:r w:rsidRPr="000B1597">
        <w:t xml:space="preserve">Use only </w:t>
      </w:r>
      <w:r w:rsidRPr="000B1597">
        <w:rPr>
          <w:b/>
          <w:bCs/>
        </w:rPr>
        <w:t>out-of-sample next-day forecasts</w:t>
      </w:r>
      <w:r w:rsidRPr="000B1597">
        <w:t xml:space="preserve"> when estimating uncertainty. </w:t>
      </w:r>
    </w:p>
    <w:p w14:paraId="5276CAAB" w14:textId="77777777" w:rsidR="000B1597" w:rsidRPr="000B1597" w:rsidRDefault="000B1597" w:rsidP="000B1597">
      <w:r w:rsidRPr="000B1597">
        <w:t xml:space="preserve">This follows the dissertation's distinction between the point forecast and the uncertainty surrounding that forecast. </w:t>
      </w:r>
    </w:p>
    <w:p w14:paraId="3249DB10" w14:textId="77777777" w:rsidR="000B1597" w:rsidRPr="000B1597" w:rsidRDefault="000B1597" w:rsidP="000B1597">
      <w:r w:rsidRPr="000B1597">
        <w:rPr>
          <w:b/>
          <w:bCs/>
        </w:rPr>
        <w:t>Analysis to Perform</w:t>
      </w:r>
    </w:p>
    <w:p w14:paraId="5665BF97" w14:textId="77777777" w:rsidR="000B1597" w:rsidRPr="000B1597" w:rsidRDefault="000B1597" w:rsidP="000B1597">
      <w:r w:rsidRPr="000B1597">
        <w:t>First calculate the forecast error for every observation:</w:t>
      </w:r>
    </w:p>
    <w:p w14:paraId="1873E856" w14:textId="5975735F" w:rsidR="000B1597" w:rsidRPr="000B1597" w:rsidRDefault="000B1597" w:rsidP="000B159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actual,t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forecast,t</m:t>
              </m:r>
            </m:sub>
          </m:sSub>
          <m:r>
            <w:br/>
          </m:r>
        </m:oMath>
      </m:oMathPara>
    </w:p>
    <w:p w14:paraId="31A4F4F9" w14:textId="77777777" w:rsidR="000B1597" w:rsidRPr="000B1597" w:rsidRDefault="000B1597" w:rsidP="000B1597">
      <w:r w:rsidRPr="000B1597">
        <w:t xml:space="preserve">The distribution of these errors shall then be </w:t>
      </w:r>
      <w:proofErr w:type="spellStart"/>
      <w:r w:rsidRPr="000B1597">
        <w:t>analysed</w:t>
      </w:r>
      <w:proofErr w:type="spellEnd"/>
      <w:r w:rsidRPr="000B1597">
        <w:t xml:space="preserve"> to establish the magnitude and direction of the uncertainty associated with the selected forecasting model.</w:t>
      </w:r>
    </w:p>
    <w:p w14:paraId="2056C41C" w14:textId="77777777" w:rsidR="000B1597" w:rsidRPr="000B1597" w:rsidRDefault="000B1597" w:rsidP="000B1597">
      <w:r w:rsidRPr="000B1597">
        <w:lastRenderedPageBreak/>
        <w:t>The analysis should quantify:</w:t>
      </w:r>
    </w:p>
    <w:p w14:paraId="3BAE1CDF" w14:textId="77777777" w:rsidR="000B1597" w:rsidRPr="000B1597" w:rsidRDefault="000B1597" w:rsidP="000B1597">
      <w:pPr>
        <w:numPr>
          <w:ilvl w:val="0"/>
          <w:numId w:val="2"/>
        </w:numPr>
      </w:pPr>
      <w:r w:rsidRPr="000B1597">
        <w:rPr>
          <w:b/>
          <w:bCs/>
        </w:rPr>
        <w:t>Mean forecast error/bias (MBE)</w:t>
      </w:r>
      <w:r w:rsidRPr="000B1597">
        <w:t xml:space="preserve"> — establishes whether the model systematically over- or under-predicts generation. </w:t>
      </w:r>
    </w:p>
    <w:p w14:paraId="2196616B" w14:textId="47F92C38" w:rsidR="000B1597" w:rsidRPr="000B1597" w:rsidRDefault="000B1597" w:rsidP="000B1597">
      <w:pPr>
        <w:numPr>
          <w:ilvl w:val="0"/>
          <w:numId w:val="2"/>
        </w:numPr>
      </w:pPr>
      <w:r w:rsidRPr="000B1597">
        <w:rPr>
          <w:b/>
          <w:bCs/>
        </w:rPr>
        <w:t>Standard deviation of forecast errors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 w:rsidRPr="000B1597">
        <w:rPr>
          <w:b/>
          <w:bCs/>
        </w:rPr>
        <w:t>)</w:t>
      </w:r>
      <w:r w:rsidRPr="000B1597">
        <w:t xml:space="preserve"> — measures the dispersion of actual generation around the forecast. </w:t>
      </w:r>
    </w:p>
    <w:p w14:paraId="21240783" w14:textId="77777777" w:rsidR="000B1597" w:rsidRPr="000B1597" w:rsidRDefault="000B1597" w:rsidP="000B1597">
      <w:pPr>
        <w:numPr>
          <w:ilvl w:val="0"/>
          <w:numId w:val="2"/>
        </w:numPr>
      </w:pPr>
      <w:r w:rsidRPr="000B1597">
        <w:rPr>
          <w:b/>
          <w:bCs/>
        </w:rPr>
        <w:t>Error percentiles/quantiles</w:t>
      </w:r>
      <w:r w:rsidRPr="000B1597">
        <w:t xml:space="preserve"> — establishes empirically how large forecast deviations are at selected confidence levels. </w:t>
      </w:r>
    </w:p>
    <w:p w14:paraId="7E40E48F" w14:textId="77777777" w:rsidR="000B1597" w:rsidRPr="000B1597" w:rsidRDefault="000B1597" w:rsidP="000B1597">
      <w:pPr>
        <w:numPr>
          <w:ilvl w:val="0"/>
          <w:numId w:val="2"/>
        </w:numPr>
      </w:pPr>
      <w:r w:rsidRPr="000B1597">
        <w:rPr>
          <w:b/>
          <w:bCs/>
        </w:rPr>
        <w:t>Prediction/uncertainty bounds</w:t>
      </w:r>
      <w:r w:rsidRPr="000B1597">
        <w:t xml:space="preserve"> — determine the range within which actual generation can reasonably be expected to occur around a next-day forecast. </w:t>
      </w:r>
    </w:p>
    <w:p w14:paraId="1A8D3617" w14:textId="77777777" w:rsidR="000B1597" w:rsidRPr="000B1597" w:rsidRDefault="000B1597" w:rsidP="000B1597">
      <w:r w:rsidRPr="000B1597">
        <w:t xml:space="preserve">Where appropriate, uncertainty should also be expressed </w:t>
      </w:r>
      <w:r w:rsidRPr="000B1597">
        <w:rPr>
          <w:b/>
          <w:bCs/>
        </w:rPr>
        <w:t>relative to forecast generation or plant capacity (%)</w:t>
      </w:r>
      <w:r w:rsidRPr="000B1597">
        <w:t>, so that the result can subsequently be applied to different forecast quantities.</w:t>
      </w:r>
    </w:p>
    <w:p w14:paraId="3660D8D0" w14:textId="77777777" w:rsidR="000B1597" w:rsidRPr="000B1597" w:rsidRDefault="000B1597" w:rsidP="000B1597">
      <w:r w:rsidRPr="000B1597">
        <w:rPr>
          <w:b/>
          <w:bCs/>
        </w:rPr>
        <w:t>Required Outputs</w:t>
      </w:r>
    </w:p>
    <w:p w14:paraId="3C6A6FD7" w14:textId="77777777" w:rsidR="000B1597" w:rsidRPr="000B1597" w:rsidRDefault="000B1597" w:rsidP="000B1597">
      <w:pPr>
        <w:numPr>
          <w:ilvl w:val="0"/>
          <w:numId w:val="3"/>
        </w:numPr>
      </w:pPr>
      <w:r w:rsidRPr="000B1597">
        <w:t xml:space="preserve">Forecast-error dataset for the selected model. </w:t>
      </w:r>
    </w:p>
    <w:p w14:paraId="5A51617F" w14:textId="77777777" w:rsidR="000B1597" w:rsidRPr="000B1597" w:rsidRDefault="000B1597" w:rsidP="000B1597">
      <w:pPr>
        <w:numPr>
          <w:ilvl w:val="0"/>
          <w:numId w:val="3"/>
        </w:numPr>
      </w:pPr>
      <w:r w:rsidRPr="000B1597">
        <w:t xml:space="preserve">Summary statistics of the forecast errors. </w:t>
      </w:r>
    </w:p>
    <w:p w14:paraId="7F162F88" w14:textId="77777777" w:rsidR="000B1597" w:rsidRPr="000B1597" w:rsidRDefault="000B1597" w:rsidP="000B1597">
      <w:pPr>
        <w:numPr>
          <w:ilvl w:val="0"/>
          <w:numId w:val="3"/>
        </w:numPr>
      </w:pPr>
      <w:r w:rsidRPr="000B1597">
        <w:t xml:space="preserve">Forecast-error distribution/histogram. </w:t>
      </w:r>
    </w:p>
    <w:p w14:paraId="112A71EA" w14:textId="77777777" w:rsidR="000B1597" w:rsidRPr="000B1597" w:rsidRDefault="000B1597" w:rsidP="000B1597">
      <w:pPr>
        <w:numPr>
          <w:ilvl w:val="0"/>
          <w:numId w:val="3"/>
        </w:numPr>
      </w:pPr>
      <w:r w:rsidRPr="000B1597">
        <w:t xml:space="preserve">Actual versus forecast generation showing the derived uncertainty bounds. </w:t>
      </w:r>
    </w:p>
    <w:p w14:paraId="2460DB14" w14:textId="77777777" w:rsidR="000B1597" w:rsidRPr="000B1597" w:rsidRDefault="000B1597" w:rsidP="000B1597">
      <w:pPr>
        <w:numPr>
          <w:ilvl w:val="0"/>
          <w:numId w:val="3"/>
        </w:numPr>
      </w:pPr>
      <w:r w:rsidRPr="000B1597">
        <w:t xml:space="preserve">A table reporting the uncertainty associated with the selected next-day forecasting model. </w:t>
      </w:r>
    </w:p>
    <w:p w14:paraId="32C1432B" w14:textId="77777777" w:rsidR="000B1597" w:rsidRDefault="000B1597" w:rsidP="000B1597">
      <w:r w:rsidRPr="000B1597">
        <w:t>The principal result for Objective 2 should take a form similar to:</w:t>
      </w:r>
    </w:p>
    <w:p w14:paraId="5C876AAD" w14:textId="77777777" w:rsidR="000B1597" w:rsidRDefault="000B1597" w:rsidP="000B1597"/>
    <w:tbl>
      <w:tblPr>
        <w:tblW w:w="84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65"/>
        <w:gridCol w:w="1260"/>
        <w:gridCol w:w="4230"/>
      </w:tblGrid>
      <w:tr w:rsidR="000B1597" w:rsidRPr="000B1597" w14:paraId="1B8B0B8E" w14:textId="77777777" w:rsidTr="000B1597">
        <w:trPr>
          <w:trHeight w:val="324"/>
          <w:jc w:val="center"/>
        </w:trPr>
        <w:tc>
          <w:tcPr>
            <w:tcW w:w="2965" w:type="dxa"/>
            <w:vAlign w:val="center"/>
            <w:hideMark/>
          </w:tcPr>
          <w:p w14:paraId="33E10396" w14:textId="77777777" w:rsidR="000B1597" w:rsidRPr="000B1597" w:rsidRDefault="000B1597" w:rsidP="000B1597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0B1597"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lastRenderedPageBreak/>
              <w:t>Uncertainty Measure</w:t>
            </w:r>
          </w:p>
        </w:tc>
        <w:tc>
          <w:tcPr>
            <w:tcW w:w="1260" w:type="dxa"/>
            <w:vAlign w:val="center"/>
            <w:hideMark/>
          </w:tcPr>
          <w:p w14:paraId="5A535154" w14:textId="77777777" w:rsidR="000B1597" w:rsidRPr="000B1597" w:rsidRDefault="000B1597" w:rsidP="000B159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0B1597"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>Result</w:t>
            </w:r>
          </w:p>
        </w:tc>
        <w:tc>
          <w:tcPr>
            <w:tcW w:w="4230" w:type="dxa"/>
            <w:vAlign w:val="center"/>
            <w:hideMark/>
          </w:tcPr>
          <w:p w14:paraId="4963FA6D" w14:textId="77777777" w:rsidR="000B1597" w:rsidRPr="000B1597" w:rsidRDefault="000B1597" w:rsidP="000B1597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0B1597"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>Interpretation</w:t>
            </w:r>
          </w:p>
        </w:tc>
      </w:tr>
      <w:tr w:rsidR="000B1597" w:rsidRPr="000B1597" w14:paraId="6F361E06" w14:textId="77777777" w:rsidTr="000B1597">
        <w:trPr>
          <w:trHeight w:val="312"/>
          <w:jc w:val="center"/>
        </w:trPr>
        <w:tc>
          <w:tcPr>
            <w:tcW w:w="2965" w:type="dxa"/>
            <w:vAlign w:val="center"/>
            <w:hideMark/>
          </w:tcPr>
          <w:p w14:paraId="404705E7" w14:textId="77777777" w:rsidR="000B1597" w:rsidRPr="000B1597" w:rsidRDefault="000B1597" w:rsidP="000B159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0B1597">
              <w:rPr>
                <w:rFonts w:eastAsia="Times New Roman" w:cs="Times New Roman"/>
                <w:color w:val="000000"/>
                <w:kern w:val="0"/>
                <w14:ligatures w14:val="none"/>
              </w:rPr>
              <w:t>Mean Error / Bias</w:t>
            </w:r>
          </w:p>
        </w:tc>
        <w:tc>
          <w:tcPr>
            <w:tcW w:w="1260" w:type="dxa"/>
            <w:vAlign w:val="center"/>
            <w:hideMark/>
          </w:tcPr>
          <w:p w14:paraId="7FBA350C" w14:textId="77777777" w:rsidR="000B1597" w:rsidRPr="000B1597" w:rsidRDefault="000B1597" w:rsidP="000B159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0B1597">
              <w:rPr>
                <w:rFonts w:eastAsia="Times New Roman" w:cs="Times New Roman"/>
                <w:color w:val="000000"/>
                <w:kern w:val="0"/>
                <w14:ligatures w14:val="none"/>
              </w:rPr>
              <w:t xml:space="preserve"> W</w:t>
            </w:r>
          </w:p>
        </w:tc>
        <w:tc>
          <w:tcPr>
            <w:tcW w:w="4230" w:type="dxa"/>
            <w:vAlign w:val="center"/>
            <w:hideMark/>
          </w:tcPr>
          <w:p w14:paraId="25920E2A" w14:textId="77777777" w:rsidR="000B1597" w:rsidRPr="000B1597" w:rsidRDefault="000B1597" w:rsidP="000B159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0B1597">
              <w:rPr>
                <w:rFonts w:eastAsia="Times New Roman" w:cs="Times New Roman"/>
                <w:color w:val="000000"/>
                <w:kern w:val="0"/>
                <w14:ligatures w14:val="none"/>
              </w:rPr>
              <w:t>Direction of systematic forecast error</w:t>
            </w:r>
          </w:p>
        </w:tc>
      </w:tr>
      <w:tr w:rsidR="000B1597" w:rsidRPr="000B1597" w14:paraId="55C805B8" w14:textId="77777777" w:rsidTr="000B1597">
        <w:trPr>
          <w:trHeight w:val="312"/>
          <w:jc w:val="center"/>
        </w:trPr>
        <w:tc>
          <w:tcPr>
            <w:tcW w:w="2965" w:type="dxa"/>
            <w:vAlign w:val="center"/>
            <w:hideMark/>
          </w:tcPr>
          <w:p w14:paraId="0A2AB1F0" w14:textId="77777777" w:rsidR="000B1597" w:rsidRPr="000B1597" w:rsidRDefault="000B1597" w:rsidP="000B159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0B1597">
              <w:rPr>
                <w:rFonts w:eastAsia="Times New Roman" w:cs="Times New Roman"/>
                <w:color w:val="000000"/>
                <w:kern w:val="0"/>
                <w14:ligatures w14:val="none"/>
              </w:rPr>
              <w:t>Error Standard Deviation</w:t>
            </w:r>
          </w:p>
        </w:tc>
        <w:tc>
          <w:tcPr>
            <w:tcW w:w="1260" w:type="dxa"/>
            <w:vAlign w:val="center"/>
            <w:hideMark/>
          </w:tcPr>
          <w:p w14:paraId="22F8EB14" w14:textId="77777777" w:rsidR="000B1597" w:rsidRPr="000B1597" w:rsidRDefault="000B1597" w:rsidP="000B159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0B1597">
              <w:rPr>
                <w:rFonts w:eastAsia="Times New Roman" w:cs="Times New Roman"/>
                <w:color w:val="000000"/>
                <w:kern w:val="0"/>
                <w14:ligatures w14:val="none"/>
              </w:rPr>
              <w:t xml:space="preserve"> W</w:t>
            </w:r>
          </w:p>
        </w:tc>
        <w:tc>
          <w:tcPr>
            <w:tcW w:w="4230" w:type="dxa"/>
            <w:vAlign w:val="center"/>
            <w:hideMark/>
          </w:tcPr>
          <w:p w14:paraId="425F1C28" w14:textId="77777777" w:rsidR="000B1597" w:rsidRPr="000B1597" w:rsidRDefault="000B1597" w:rsidP="000B159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0B1597">
              <w:rPr>
                <w:rFonts w:eastAsia="Times New Roman" w:cs="Times New Roman"/>
                <w:color w:val="000000"/>
                <w:kern w:val="0"/>
                <w14:ligatures w14:val="none"/>
              </w:rPr>
              <w:t>Typical dispersion around forecast</w:t>
            </w:r>
          </w:p>
        </w:tc>
      </w:tr>
      <w:tr w:rsidR="000B1597" w:rsidRPr="000B1597" w14:paraId="3D141DC5" w14:textId="77777777" w:rsidTr="000B1597">
        <w:trPr>
          <w:trHeight w:val="312"/>
          <w:jc w:val="center"/>
        </w:trPr>
        <w:tc>
          <w:tcPr>
            <w:tcW w:w="2965" w:type="dxa"/>
            <w:vAlign w:val="center"/>
            <w:hideMark/>
          </w:tcPr>
          <w:p w14:paraId="75903FDA" w14:textId="77777777" w:rsidR="000B1597" w:rsidRPr="000B1597" w:rsidRDefault="000B1597" w:rsidP="000B159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0B1597">
              <w:rPr>
                <w:rFonts w:eastAsia="Times New Roman" w:cs="Times New Roman"/>
                <w:color w:val="000000"/>
                <w:kern w:val="0"/>
                <w14:ligatures w14:val="none"/>
              </w:rPr>
              <w:t>Relative Uncertainty</w:t>
            </w:r>
          </w:p>
        </w:tc>
        <w:tc>
          <w:tcPr>
            <w:tcW w:w="1260" w:type="dxa"/>
            <w:vAlign w:val="center"/>
            <w:hideMark/>
          </w:tcPr>
          <w:p w14:paraId="39EE907F" w14:textId="77777777" w:rsidR="000B1597" w:rsidRPr="000B1597" w:rsidRDefault="000B1597" w:rsidP="000B159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0B1597">
              <w:rPr>
                <w:rFonts w:eastAsia="Times New Roman" w:cs="Times New Roman"/>
                <w:color w:val="000000"/>
                <w:kern w:val="0"/>
                <w14:ligatures w14:val="none"/>
              </w:rPr>
              <w:t xml:space="preserve"> %</w:t>
            </w:r>
          </w:p>
        </w:tc>
        <w:tc>
          <w:tcPr>
            <w:tcW w:w="4230" w:type="dxa"/>
            <w:vAlign w:val="center"/>
            <w:hideMark/>
          </w:tcPr>
          <w:p w14:paraId="102A2D2F" w14:textId="77777777" w:rsidR="000B1597" w:rsidRPr="000B1597" w:rsidRDefault="000B1597" w:rsidP="000B159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0B1597">
              <w:rPr>
                <w:rFonts w:eastAsia="Times New Roman" w:cs="Times New Roman"/>
                <w:color w:val="000000"/>
                <w:kern w:val="0"/>
                <w14:ligatures w14:val="none"/>
              </w:rPr>
              <w:t>Uncertainty relative to forecast/capacity</w:t>
            </w:r>
          </w:p>
        </w:tc>
      </w:tr>
      <w:tr w:rsidR="000B1597" w:rsidRPr="000B1597" w14:paraId="297B1770" w14:textId="77777777" w:rsidTr="000B1597">
        <w:trPr>
          <w:trHeight w:val="312"/>
          <w:jc w:val="center"/>
        </w:trPr>
        <w:tc>
          <w:tcPr>
            <w:tcW w:w="2965" w:type="dxa"/>
            <w:vAlign w:val="center"/>
            <w:hideMark/>
          </w:tcPr>
          <w:p w14:paraId="47C6E329" w14:textId="77777777" w:rsidR="000B1597" w:rsidRPr="000B1597" w:rsidRDefault="000B1597" w:rsidP="000B159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0B1597">
              <w:rPr>
                <w:rFonts w:eastAsia="Times New Roman" w:cs="Times New Roman"/>
                <w:color w:val="000000"/>
                <w:kern w:val="0"/>
                <w14:ligatures w14:val="none"/>
              </w:rPr>
              <w:t>80% uncertainty interval</w:t>
            </w:r>
          </w:p>
        </w:tc>
        <w:tc>
          <w:tcPr>
            <w:tcW w:w="1260" w:type="dxa"/>
            <w:vAlign w:val="center"/>
            <w:hideMark/>
          </w:tcPr>
          <w:p w14:paraId="34057882" w14:textId="77777777" w:rsidR="000B1597" w:rsidRPr="000B1597" w:rsidRDefault="000B1597" w:rsidP="000B159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0B1597">
              <w:rPr>
                <w:rFonts w:eastAsia="Times New Roman" w:cs="Times New Roman"/>
                <w:color w:val="000000"/>
                <w:kern w:val="0"/>
                <w14:ligatures w14:val="none"/>
              </w:rPr>
              <w:t xml:space="preserve"> to </w:t>
            </w:r>
          </w:p>
        </w:tc>
        <w:tc>
          <w:tcPr>
            <w:tcW w:w="4230" w:type="dxa"/>
            <w:vAlign w:val="center"/>
            <w:hideMark/>
          </w:tcPr>
          <w:p w14:paraId="50ECDA2F" w14:textId="77777777" w:rsidR="000B1597" w:rsidRPr="000B1597" w:rsidRDefault="000B1597" w:rsidP="000B159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0B1597">
              <w:rPr>
                <w:rFonts w:eastAsia="Times New Roman" w:cs="Times New Roman"/>
                <w:color w:val="000000"/>
                <w:kern w:val="0"/>
                <w14:ligatures w14:val="none"/>
              </w:rPr>
              <w:t>Expected forecast-error range</w:t>
            </w:r>
          </w:p>
        </w:tc>
      </w:tr>
      <w:tr w:rsidR="000B1597" w:rsidRPr="000B1597" w14:paraId="74B00D64" w14:textId="77777777" w:rsidTr="000B1597">
        <w:trPr>
          <w:trHeight w:val="312"/>
          <w:jc w:val="center"/>
        </w:trPr>
        <w:tc>
          <w:tcPr>
            <w:tcW w:w="2965" w:type="dxa"/>
            <w:vAlign w:val="center"/>
            <w:hideMark/>
          </w:tcPr>
          <w:p w14:paraId="723EFFC6" w14:textId="77777777" w:rsidR="000B1597" w:rsidRPr="000B1597" w:rsidRDefault="000B1597" w:rsidP="000B159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0B1597">
              <w:rPr>
                <w:rFonts w:eastAsia="Times New Roman" w:cs="Times New Roman"/>
                <w:color w:val="000000"/>
                <w:kern w:val="0"/>
                <w14:ligatures w14:val="none"/>
              </w:rPr>
              <w:t>90% uncertainty interval</w:t>
            </w:r>
          </w:p>
        </w:tc>
        <w:tc>
          <w:tcPr>
            <w:tcW w:w="1260" w:type="dxa"/>
            <w:vAlign w:val="center"/>
            <w:hideMark/>
          </w:tcPr>
          <w:p w14:paraId="75E731D5" w14:textId="77777777" w:rsidR="000B1597" w:rsidRPr="000B1597" w:rsidRDefault="000B1597" w:rsidP="000B159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0B1597">
              <w:rPr>
                <w:rFonts w:eastAsia="Times New Roman" w:cs="Times New Roman"/>
                <w:color w:val="000000"/>
                <w:kern w:val="0"/>
                <w14:ligatures w14:val="none"/>
              </w:rPr>
              <w:t xml:space="preserve"> to </w:t>
            </w:r>
          </w:p>
        </w:tc>
        <w:tc>
          <w:tcPr>
            <w:tcW w:w="4230" w:type="dxa"/>
            <w:vAlign w:val="center"/>
            <w:hideMark/>
          </w:tcPr>
          <w:p w14:paraId="416FAF97" w14:textId="77777777" w:rsidR="000B1597" w:rsidRPr="000B1597" w:rsidRDefault="000B1597" w:rsidP="000B159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0B1597">
              <w:rPr>
                <w:rFonts w:eastAsia="Times New Roman" w:cs="Times New Roman"/>
                <w:color w:val="000000"/>
                <w:kern w:val="0"/>
                <w14:ligatures w14:val="none"/>
              </w:rPr>
              <w:t>Expected forecast-error range</w:t>
            </w:r>
          </w:p>
        </w:tc>
      </w:tr>
      <w:tr w:rsidR="000B1597" w:rsidRPr="000B1597" w14:paraId="3ADB9153" w14:textId="77777777" w:rsidTr="000B1597">
        <w:trPr>
          <w:trHeight w:val="324"/>
          <w:jc w:val="center"/>
        </w:trPr>
        <w:tc>
          <w:tcPr>
            <w:tcW w:w="2965" w:type="dxa"/>
            <w:vAlign w:val="center"/>
            <w:hideMark/>
          </w:tcPr>
          <w:p w14:paraId="20FEB7DB" w14:textId="77777777" w:rsidR="000B1597" w:rsidRPr="000B1597" w:rsidRDefault="000B1597" w:rsidP="000B159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0B1597">
              <w:rPr>
                <w:rFonts w:eastAsia="Times New Roman" w:cs="Times New Roman"/>
                <w:color w:val="000000"/>
                <w:kern w:val="0"/>
                <w14:ligatures w14:val="none"/>
              </w:rPr>
              <w:t>95% uncertainty interval</w:t>
            </w:r>
          </w:p>
        </w:tc>
        <w:tc>
          <w:tcPr>
            <w:tcW w:w="1260" w:type="dxa"/>
            <w:vAlign w:val="center"/>
            <w:hideMark/>
          </w:tcPr>
          <w:p w14:paraId="66E01037" w14:textId="77777777" w:rsidR="000B1597" w:rsidRPr="000B1597" w:rsidRDefault="000B1597" w:rsidP="000B159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0B1597">
              <w:rPr>
                <w:rFonts w:eastAsia="Times New Roman" w:cs="Times New Roman"/>
                <w:color w:val="000000"/>
                <w:kern w:val="0"/>
                <w14:ligatures w14:val="none"/>
              </w:rPr>
              <w:t xml:space="preserve">to </w:t>
            </w:r>
          </w:p>
        </w:tc>
        <w:tc>
          <w:tcPr>
            <w:tcW w:w="4230" w:type="dxa"/>
            <w:vAlign w:val="center"/>
            <w:hideMark/>
          </w:tcPr>
          <w:p w14:paraId="3CDB0F02" w14:textId="77777777" w:rsidR="000B1597" w:rsidRPr="000B1597" w:rsidRDefault="000B1597" w:rsidP="000B159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0B1597">
              <w:rPr>
                <w:rFonts w:eastAsia="Times New Roman" w:cs="Times New Roman"/>
                <w:color w:val="000000"/>
                <w:kern w:val="0"/>
                <w14:ligatures w14:val="none"/>
              </w:rPr>
              <w:t>Expected forecast-error range</w:t>
            </w:r>
          </w:p>
        </w:tc>
      </w:tr>
    </w:tbl>
    <w:p w14:paraId="7D74BC5B" w14:textId="77777777" w:rsidR="000B1597" w:rsidRPr="000B1597" w:rsidRDefault="000B1597" w:rsidP="000B1597">
      <w:r w:rsidRPr="000B1597">
        <w:rPr>
          <w:b/>
          <w:bCs/>
        </w:rPr>
        <w:t>Final Goal</w:t>
      </w:r>
    </w:p>
    <w:p w14:paraId="026AE48D" w14:textId="77777777" w:rsidR="000B1597" w:rsidRPr="000B1597" w:rsidRDefault="000B1597" w:rsidP="000B1597">
      <w:r w:rsidRPr="000B1597">
        <w:t xml:space="preserve">Determine a </w:t>
      </w:r>
      <w:r w:rsidRPr="000B1597">
        <w:rPr>
          <w:b/>
          <w:bCs/>
        </w:rPr>
        <w:t>quantitative and empirically derived measure of forecast uncertainty</w:t>
      </w:r>
      <w:r w:rsidRPr="000B1597">
        <w:t xml:space="preserve"> for the best-performing next-day forecasting model. The uncertainty measure shall be carried forward together with the next-day forecast into </w:t>
      </w:r>
      <w:r w:rsidRPr="000B1597">
        <w:rPr>
          <w:b/>
          <w:bCs/>
        </w:rPr>
        <w:t>Objective 3</w:t>
      </w:r>
      <w:r w:rsidRPr="000B1597">
        <w:t>, where market commitment quantities will be determined while considering forecast uncertainty and imbalance costs.</w:t>
      </w:r>
    </w:p>
    <w:p w14:paraId="21E11856" w14:textId="77777777" w:rsidR="00B124A2" w:rsidRDefault="00B124A2"/>
    <w:sectPr w:rsidR="00B124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40534"/>
    <w:multiLevelType w:val="multilevel"/>
    <w:tmpl w:val="9F7A7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37E6A"/>
    <w:multiLevelType w:val="multilevel"/>
    <w:tmpl w:val="2F983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E01DAC"/>
    <w:multiLevelType w:val="multilevel"/>
    <w:tmpl w:val="0E24E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8244730">
    <w:abstractNumId w:val="2"/>
  </w:num>
  <w:num w:numId="2" w16cid:durableId="801768750">
    <w:abstractNumId w:val="0"/>
  </w:num>
  <w:num w:numId="3" w16cid:durableId="1016548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597"/>
    <w:rsid w:val="000B1597"/>
    <w:rsid w:val="00100491"/>
    <w:rsid w:val="00183D64"/>
    <w:rsid w:val="002963E8"/>
    <w:rsid w:val="002A4F05"/>
    <w:rsid w:val="004004A6"/>
    <w:rsid w:val="0050523F"/>
    <w:rsid w:val="0061142F"/>
    <w:rsid w:val="00700157"/>
    <w:rsid w:val="00767E49"/>
    <w:rsid w:val="007B68FF"/>
    <w:rsid w:val="007F7FA3"/>
    <w:rsid w:val="00867F25"/>
    <w:rsid w:val="00B01857"/>
    <w:rsid w:val="00B124A2"/>
    <w:rsid w:val="00BC44C5"/>
    <w:rsid w:val="00C9536C"/>
    <w:rsid w:val="00D41A58"/>
    <w:rsid w:val="00E01BAB"/>
    <w:rsid w:val="00EF4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F8794"/>
  <w15:chartTrackingRefBased/>
  <w15:docId w15:val="{B65590CA-06D4-40B6-AD79-AF0A5A302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24A2"/>
    <w:pPr>
      <w:spacing w:line="480" w:lineRule="auto"/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5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5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59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59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59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59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59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59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59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5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5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5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5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5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5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5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5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5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5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15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59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15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15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597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5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5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5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597"/>
    <w:rPr>
      <w:rFonts w:ascii="Times New Roman" w:hAnsi="Times New Roman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5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436</Words>
  <Characters>2490</Characters>
  <Application>Microsoft Office Word</Application>
  <DocSecurity>0</DocSecurity>
  <Lines>20</Lines>
  <Paragraphs>5</Paragraphs>
  <ScaleCrop>false</ScaleCrop>
  <Company/>
  <LinksUpToDate>false</LinksUpToDate>
  <CharactersWithSpaces>2921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 Lubanga</dc:creator>
  <cp:keywords/>
  <dc:description/>
  <cp:lastModifiedBy>Dennis  Lubanga</cp:lastModifiedBy>
  <cp:revision>1</cp:revision>
  <dcterms:created xsi:type="dcterms:W3CDTF">2026-09-21T10:20:00Z</dcterms:created>
  <dcterms:modified xsi:type="dcterms:W3CDTF">2026-09-21T10:25:00Z</dcterms:modified>
</cp:coreProperties>
</file>