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FBA4BD" w14:textId="77777777" w:rsidR="005F5E7F" w:rsidRPr="005F5E7F" w:rsidRDefault="005F5E7F" w:rsidP="005F5E7F">
      <w:pPr>
        <w:rPr>
          <w:b/>
          <w:bCs/>
        </w:rPr>
      </w:pPr>
      <w:r w:rsidRPr="005F5E7F">
        <w:rPr>
          <w:b/>
          <w:bCs/>
        </w:rPr>
        <w:t>OBJECTIVE 3 — Determination of Market Energy Commitment</w:t>
      </w:r>
    </w:p>
    <w:p w14:paraId="2DEB8FDF" w14:textId="77777777" w:rsidR="005F5E7F" w:rsidRPr="005F5E7F" w:rsidRDefault="005F5E7F" w:rsidP="005F5E7F">
      <w:r w:rsidRPr="005F5E7F">
        <w:rPr>
          <w:b/>
          <w:bCs/>
        </w:rPr>
        <w:t>Objective:</w:t>
      </w:r>
      <w:r w:rsidRPr="005F5E7F">
        <w:br/>
        <w:t>To determine market commitment quantities from next-day solar PV forecasts while accounting for forecast uncertainty and imbalance costs.</w:t>
      </w:r>
    </w:p>
    <w:p w14:paraId="40FB341B" w14:textId="77777777" w:rsidR="005F5E7F" w:rsidRPr="005F5E7F" w:rsidRDefault="005F5E7F" w:rsidP="005F5E7F">
      <w:pPr>
        <w:rPr>
          <w:b/>
          <w:bCs/>
        </w:rPr>
      </w:pPr>
      <w:r w:rsidRPr="005F5E7F">
        <w:rPr>
          <w:b/>
          <w:bCs/>
        </w:rPr>
        <w:t>1. Input from Objectives 1 and 2</w:t>
      </w:r>
    </w:p>
    <w:p w14:paraId="000AD557" w14:textId="77777777" w:rsidR="005F5E7F" w:rsidRPr="005F5E7F" w:rsidRDefault="005F5E7F" w:rsidP="005F5E7F">
      <w:r w:rsidRPr="005F5E7F">
        <w:t>Use the best-performing forecasting model identified under Objective 1 and select the forecast for a single one-hour delivery interval: 12:00–13:00.</w:t>
      </w:r>
    </w:p>
    <w:p w14:paraId="3AA722CD" w14:textId="77777777" w:rsidR="005F5E7F" w:rsidRPr="005F5E7F" w:rsidRDefault="005F5E7F" w:rsidP="005F5E7F">
      <w:r w:rsidRPr="005F5E7F">
        <w:t>Let:</w:t>
      </w:r>
    </w:p>
    <w:p w14:paraId="38EEF528" w14:textId="33401F46" w:rsidR="005F5E7F" w:rsidRPr="005F5E7F" w:rsidRDefault="005F5E7F" w:rsidP="005F5E7F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12</m:t>
              </m:r>
            </m:sub>
          </m:sSub>
          <m:r>
            <w:rPr>
              <w:rFonts w:ascii="Cambria Math" w:hAnsi="Cambria Math"/>
            </w:rPr>
            <m:t>=</m:t>
          </m:r>
          <m:r>
            <m:rPr>
              <m:nor/>
            </m:rPr>
            <m:t>forecast PV energy for 12:00–13:00 (kWh)</m:t>
          </m:r>
          <m:r>
            <w:br/>
          </m:r>
        </m:oMath>
      </m:oMathPara>
    </w:p>
    <w:p w14:paraId="423FC91C" w14:textId="77777777" w:rsidR="005F5E7F" w:rsidRPr="005F5E7F" w:rsidRDefault="005F5E7F" w:rsidP="005F5E7F">
      <w:r w:rsidRPr="005F5E7F">
        <w:t>The forecast must be an actual output of the selected model, not an assumed/hypothetical value.</w:t>
      </w:r>
    </w:p>
    <w:p w14:paraId="24131F40" w14:textId="77777777" w:rsidR="005F5E7F" w:rsidRPr="005F5E7F" w:rsidRDefault="005F5E7F" w:rsidP="005F5E7F">
      <w:r w:rsidRPr="005F5E7F">
        <w:t>From Objective 2, obtain the empirical forecast-error distribution for the corresponding interval:</w:t>
      </w:r>
    </w:p>
    <w:p w14:paraId="0CA29931" w14:textId="54E38058" w:rsidR="005F5E7F" w:rsidRPr="005F5E7F" w:rsidRDefault="005F5E7F" w:rsidP="005F5E7F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br/>
          </m:r>
        </m:oMath>
      </m:oMathPara>
    </w:p>
    <w:p w14:paraId="54DBB674" w14:textId="77777777" w:rsidR="005F5E7F" w:rsidRPr="005F5E7F" w:rsidRDefault="005F5E7F" w:rsidP="005F5E7F">
      <w:r w:rsidRPr="005F5E7F">
        <w:t>including the relevant residual quantiles.</w:t>
      </w:r>
    </w:p>
    <w:p w14:paraId="0BF36F30" w14:textId="77777777" w:rsidR="005F5E7F" w:rsidRPr="005F5E7F" w:rsidRDefault="005F5E7F" w:rsidP="005F5E7F">
      <w:pPr>
        <w:rPr>
          <w:b/>
          <w:bCs/>
        </w:rPr>
      </w:pPr>
      <w:r w:rsidRPr="005F5E7F">
        <w:rPr>
          <w:b/>
          <w:bCs/>
        </w:rPr>
        <w:t>2. Determine the Market Commitment</w:t>
      </w:r>
    </w:p>
    <w:p w14:paraId="14FD3F42" w14:textId="77777777" w:rsidR="005F5E7F" w:rsidRPr="005F5E7F" w:rsidRDefault="005F5E7F" w:rsidP="005F5E7F">
      <w:r w:rsidRPr="005F5E7F">
        <w:t>Define the economic consequences of the commitment decision as:</w:t>
      </w:r>
    </w:p>
    <w:p w14:paraId="52709101" w14:textId="5B7F982A" w:rsidR="005F5E7F" w:rsidRPr="005F5E7F" w:rsidRDefault="005F5E7F" w:rsidP="005F5E7F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u</m:t>
              </m:r>
            </m:sub>
          </m:sSub>
          <m:r>
            <w:rPr>
              <w:rFonts w:ascii="Cambria Math" w:hAnsi="Cambria Math"/>
            </w:rPr>
            <m:t>=</m:t>
          </m:r>
          <m:r>
            <m:rPr>
              <m:nor/>
            </m:rPr>
            <m:t>cost of under-commitment</m:t>
          </m:r>
          <m:r>
            <w:br/>
          </m:r>
        </m:oMath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o</m:t>
              </m:r>
            </m:sub>
          </m:sSub>
          <m:r>
            <w:rPr>
              <w:rFonts w:ascii="Cambria Math" w:hAnsi="Cambria Math"/>
            </w:rPr>
            <m:t>=</m:t>
          </m:r>
          <m:r>
            <m:rPr>
              <m:nor/>
            </m:rPr>
            <m:t>cost of over-commitment</m:t>
          </m:r>
          <m:r>
            <w:br/>
          </m:r>
        </m:oMath>
      </m:oMathPara>
    </w:p>
    <w:p w14:paraId="4377BEE3" w14:textId="77777777" w:rsidR="005F5E7F" w:rsidRPr="005F5E7F" w:rsidRDefault="005F5E7F" w:rsidP="005F5E7F">
      <w:r w:rsidRPr="005F5E7F">
        <w:lastRenderedPageBreak/>
        <w:t xml:space="preserve">where under-commitment represents potential income forgone from available energy that was not committed, while over-commitment represents shortfall/imbalance exposure when committed energy exceeds available generation. This is consistent with the Newsvendor interpretation already established in the dissertation. </w:t>
      </w:r>
    </w:p>
    <w:p w14:paraId="63E2D70A" w14:textId="77777777" w:rsidR="005F5E7F" w:rsidRPr="005F5E7F" w:rsidRDefault="005F5E7F" w:rsidP="005F5E7F">
      <w:r w:rsidRPr="005F5E7F">
        <w:t xml:space="preserve">Calculate the Newsvendor critical </w:t>
      </w:r>
      <w:proofErr w:type="spellStart"/>
      <w:r w:rsidRPr="005F5E7F">
        <w:t>fractile</w:t>
      </w:r>
      <w:proofErr w:type="spellEnd"/>
      <w:r w:rsidRPr="005F5E7F">
        <w:t>:</w:t>
      </w:r>
    </w:p>
    <w:p w14:paraId="10608CE7" w14:textId="318B3A44" w:rsidR="005F5E7F" w:rsidRPr="005F5E7F" w:rsidRDefault="005F5E7F" w:rsidP="005F5E7F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p>
                  <m:r>
                    <w:rPr>
                      <w:rFonts w:ascii="Cambria Math" w:hAnsi="Cambria Math"/>
                    </w:rPr>
                    <m:t>*</m:t>
                  </m:r>
                </m:sup>
              </m:sSup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u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u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o</m:t>
                      </m:r>
                    </m:sub>
                  </m:sSub>
                </m:den>
              </m:f>
            </m:e>
          </m:borderBox>
          <m:r>
            <w:br/>
          </m:r>
        </m:oMath>
      </m:oMathPara>
    </w:p>
    <w:p w14:paraId="630A2D78" w14:textId="77777777" w:rsidR="005F5E7F" w:rsidRPr="005F5E7F" w:rsidRDefault="005F5E7F" w:rsidP="005F5E7F">
      <w:r w:rsidRPr="005F5E7F">
        <w:t xml:space="preserve">Use this critical </w:t>
      </w:r>
      <w:proofErr w:type="spellStart"/>
      <w:r w:rsidRPr="005F5E7F">
        <w:t>fractile</w:t>
      </w:r>
      <w:proofErr w:type="spellEnd"/>
      <w:r w:rsidRPr="005F5E7F">
        <w:t xml:space="preserve"> to select the corresponding quantile from the forecast distribution:</w:t>
      </w:r>
    </w:p>
    <w:p w14:paraId="187F2D3D" w14:textId="7A5A6253" w:rsidR="005F5E7F" w:rsidRPr="005F5E7F" w:rsidRDefault="005F5E7F" w:rsidP="005F5E7F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</w:rPr>
                    <m:t>12</m:t>
                  </m:r>
                </m:sub>
                <m:sup>
                  <m:r>
                    <w:rPr>
                      <w:rFonts w:ascii="Cambria Math" w:hAnsi="Cambria Math"/>
                    </w:rPr>
                    <m:t>*</m:t>
                  </m:r>
                </m:sup>
              </m:sSubSup>
              <m:r>
                <w:rPr>
                  <w:rFonts w:ascii="Cambria Math" w:hAnsi="Cambria Math"/>
                </w:rPr>
                <m:t>=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12</m:t>
                  </m:r>
                </m:sub>
                <m:sup>
                  <m:r>
                    <w:rPr>
                      <w:rFonts w:ascii="Cambria Math" w:hAnsi="Cambria Math"/>
                    </w:rPr>
                    <m:t>-1</m:t>
                  </m:r>
                </m:sup>
              </m:sSubSup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q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*</m:t>
                      </m:r>
                    </m:sup>
                  </m:sSup>
                </m:e>
              </m:d>
            </m:e>
          </m:borderBox>
          <m:r>
            <w:br/>
          </m:r>
        </m:oMath>
      </m:oMathPara>
    </w:p>
    <w:p w14:paraId="61F72C10" w14:textId="77777777" w:rsidR="005F5E7F" w:rsidRPr="005F5E7F" w:rsidRDefault="005F5E7F" w:rsidP="005F5E7F">
      <w:r w:rsidRPr="005F5E7F">
        <w:t>where:</w:t>
      </w:r>
    </w:p>
    <w:p w14:paraId="626256C6" w14:textId="7F1BBFCA" w:rsidR="005F5E7F" w:rsidRPr="005F5E7F" w:rsidRDefault="005F5E7F" w:rsidP="005F5E7F"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12</m:t>
              </m:r>
            </m:sub>
            <m:sup>
              <m:r>
                <w:rPr>
                  <w:rFonts w:ascii="Cambria Math" w:hAnsi="Cambria Math"/>
                </w:rPr>
                <m:t>*</m:t>
              </m:r>
            </m:sup>
          </m:sSubSup>
          <m:r>
            <w:rPr>
              <w:rFonts w:ascii="Cambria Math" w:hAnsi="Cambria Math"/>
            </w:rPr>
            <m:t>=</m:t>
          </m:r>
          <m:r>
            <m:rPr>
              <m:nor/>
            </m:rPr>
            <m:t>committed energy for 12:00–13:00 (kWh)</m:t>
          </m:r>
          <m:r>
            <w:br/>
          </m:r>
        </m:oMath>
      </m:oMathPara>
    </w:p>
    <w:p w14:paraId="71A7D885" w14:textId="77777777" w:rsidR="005F5E7F" w:rsidRPr="005F5E7F" w:rsidRDefault="005F5E7F" w:rsidP="005F5E7F">
      <w:r w:rsidRPr="005F5E7F">
        <w:t>The commitment should therefore be determined from the forecast + quantified uncertainty + market costs, rather than by applying an arbitrary fixed percentage to the forecast.</w:t>
      </w:r>
    </w:p>
    <w:p w14:paraId="4F2A6A6A" w14:textId="77777777" w:rsidR="005F5E7F" w:rsidRPr="005F5E7F" w:rsidRDefault="005F5E7F" w:rsidP="005F5E7F">
      <w:pPr>
        <w:rPr>
          <w:b/>
          <w:bCs/>
        </w:rPr>
      </w:pPr>
      <w:r w:rsidRPr="005F5E7F">
        <w:rPr>
          <w:b/>
          <w:bCs/>
        </w:rPr>
        <w:t>3. Evaluate the Commitment</w:t>
      </w:r>
    </w:p>
    <w:p w14:paraId="29414757" w14:textId="2D917153" w:rsidR="005F5E7F" w:rsidRPr="005F5E7F" w:rsidRDefault="005F5E7F" w:rsidP="005F5E7F">
      <w:r w:rsidRPr="005F5E7F">
        <w:t xml:space="preserve">After determining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12</m:t>
            </m:r>
          </m:sub>
          <m:sup>
            <m:r>
              <w:rPr>
                <w:rFonts w:ascii="Cambria Math" w:hAnsi="Cambria Math"/>
              </w:rPr>
              <m:t>*</m:t>
            </m:r>
          </m:sup>
        </m:sSubSup>
      </m:oMath>
      <w:r w:rsidRPr="005F5E7F">
        <w:t>, compare it with the actual measured Strathmore energy generation for the same 12:00–13:00 interval:</w:t>
      </w:r>
    </w:p>
    <w:p w14:paraId="485A9E7C" w14:textId="2C6D1709" w:rsidR="005F5E7F" w:rsidRPr="005F5E7F" w:rsidRDefault="005F5E7F" w:rsidP="005F5E7F"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12</m:t>
              </m:r>
            </m:sub>
            <m:sup>
              <m:r>
                <w:rPr>
                  <w:rFonts w:ascii="Cambria Math" w:hAnsi="Cambria Math"/>
                </w:rPr>
                <m:t>actual</m:t>
              </m:r>
            </m:sup>
          </m:sSubSup>
          <m:r>
            <w:br/>
          </m:r>
        </m:oMath>
      </m:oMathPara>
    </w:p>
    <w:p w14:paraId="577ED8A2" w14:textId="77777777" w:rsidR="005F5E7F" w:rsidRPr="005F5E7F" w:rsidRDefault="005F5E7F" w:rsidP="005F5E7F">
      <w:r w:rsidRPr="005F5E7F">
        <w:t>Calculate:</w:t>
      </w:r>
    </w:p>
    <w:p w14:paraId="384993AC" w14:textId="4ADA08CE" w:rsidR="005F5E7F" w:rsidRPr="005F5E7F" w:rsidRDefault="005F5E7F" w:rsidP="005F5E7F">
      <m:oMathPara>
        <m:oMath>
          <m:r>
            <w:rPr>
              <w:rFonts w:ascii="Cambria Math" w:hAnsi="Cambria Math"/>
            </w:rPr>
            <m:t>Shortfall=</m:t>
          </m:r>
          <m:r>
            <m:rPr>
              <m:sty m:val="p"/>
            </m:rPr>
            <w:rPr>
              <w:rFonts w:ascii="Cambria Math" w:hAnsi="Cambria Math"/>
            </w:rPr>
            <m:t>max</m:t>
          </m:r>
          <m:r>
            <w:rPr>
              <w:rFonts w:ascii="Cambria Math" w:hAnsi="Cambria Math"/>
            </w:rPr>
            <m:t>⁡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</w:rPr>
                    <m:t>12</m:t>
                  </m:r>
                </m:sub>
                <m:sup>
                  <m:r>
                    <w:rPr>
                      <w:rFonts w:ascii="Cambria Math" w:hAnsi="Cambria Math"/>
                    </w:rPr>
                    <m:t>*</m:t>
                  </m:r>
                </m:sup>
              </m:sSubSup>
            </m:e>
            <m:e>
              <m:r>
                <w:rPr>
                  <w:rFonts w:ascii="Cambria Math" w:hAnsi="Cambria Math"/>
                </w:rPr>
                <m:t>-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12</m:t>
                  </m:r>
                </m:sub>
                <m:sup>
                  <m:r>
                    <w:rPr>
                      <w:rFonts w:ascii="Cambria Math" w:hAnsi="Cambria Math"/>
                    </w:rPr>
                    <m:t>actual</m:t>
                  </m:r>
                </m:sup>
              </m:sSubSup>
              <m:r>
                <w:rPr>
                  <w:rFonts w:ascii="Cambria Math" w:hAnsi="Cambria Math"/>
                </w:rPr>
                <m:t>0</m:t>
              </m:r>
            </m:e>
          </m:d>
          <m:r>
            <w:br/>
          </m:r>
        </m:oMath>
        <m:oMath>
          <m:r>
            <w:rPr>
              <w:rFonts w:ascii="Cambria Math" w:hAnsi="Cambria Math"/>
            </w:rPr>
            <m:t>Surplus=</m:t>
          </m:r>
          <m:r>
            <m:rPr>
              <m:sty m:val="p"/>
            </m:rPr>
            <w:rPr>
              <w:rFonts w:ascii="Cambria Math" w:hAnsi="Cambria Math"/>
            </w:rPr>
            <m:t>max</m:t>
          </m:r>
          <m:r>
            <w:rPr>
              <w:rFonts w:ascii="Cambria Math" w:hAnsi="Cambria Math"/>
            </w:rPr>
            <m:t>⁡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12</m:t>
                  </m:r>
                </m:sub>
                <m:sup>
                  <m:r>
                    <w:rPr>
                      <w:rFonts w:ascii="Cambria Math" w:hAnsi="Cambria Math"/>
                    </w:rPr>
                    <m:t>actual</m:t>
                  </m:r>
                </m:sup>
              </m:sSubSup>
            </m:e>
            <m:e>
              <m:r>
                <w:rPr>
                  <w:rFonts w:ascii="Cambria Math" w:hAnsi="Cambria Math"/>
                </w:rPr>
                <m:t>-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</w:rPr>
                    <m:t>12</m:t>
                  </m:r>
                </m:sub>
                <m:sup>
                  <m:r>
                    <w:rPr>
                      <w:rFonts w:ascii="Cambria Math" w:hAnsi="Cambria Math"/>
                    </w:rPr>
                    <m:t>*</m:t>
                  </m:r>
                </m:sup>
              </m:sSubSup>
              <m:r>
                <w:rPr>
                  <w:rFonts w:ascii="Cambria Math" w:hAnsi="Cambria Math"/>
                </w:rPr>
                <m:t>0</m:t>
              </m:r>
            </m:e>
          </m:d>
          <m:r>
            <w:br/>
          </m:r>
        </m:oMath>
      </m:oMathPara>
    </w:p>
    <w:p w14:paraId="79B2F8A2" w14:textId="77777777" w:rsidR="005F5E7F" w:rsidRPr="005F5E7F" w:rsidRDefault="005F5E7F" w:rsidP="005F5E7F">
      <w:r w:rsidRPr="005F5E7F">
        <w:t xml:space="preserve">The actual generation is used </w:t>
      </w:r>
      <w:r w:rsidRPr="005F5E7F">
        <w:rPr>
          <w:b/>
          <w:bCs/>
        </w:rPr>
        <w:t>only for ex-post evaluation</w:t>
      </w:r>
      <w:r w:rsidRPr="005F5E7F">
        <w:t xml:space="preserve"> and must not be used to determine the commitment.</w:t>
      </w:r>
    </w:p>
    <w:p w14:paraId="61F9662C" w14:textId="77777777" w:rsidR="005F5E7F" w:rsidRPr="005F5E7F" w:rsidRDefault="005F5E7F" w:rsidP="005F5E7F">
      <w:pPr>
        <w:rPr>
          <w:b/>
          <w:bCs/>
        </w:rPr>
      </w:pPr>
      <w:r w:rsidRPr="005F5E7F">
        <w:rPr>
          <w:b/>
          <w:bCs/>
        </w:rPr>
        <w:t>4. Sensitivity to Imbalance Costs</w:t>
      </w:r>
    </w:p>
    <w:p w14:paraId="37D1819F" w14:textId="77777777" w:rsidR="005F5E7F" w:rsidRDefault="005F5E7F" w:rsidP="005F5E7F">
      <w:r w:rsidRPr="005F5E7F">
        <w:t xml:space="preserve">Repeat the commitment calculation for </w:t>
      </w:r>
      <w:r w:rsidRPr="005F5E7F">
        <w:rPr>
          <w:b/>
          <w:bCs/>
        </w:rPr>
        <w:t>three market-cost scenarios</w:t>
      </w:r>
      <w:r w:rsidRPr="005F5E7F">
        <w:t>:</w:t>
      </w:r>
    </w:p>
    <w:p w14:paraId="543EC2D3" w14:textId="77777777" w:rsidR="005F5E7F" w:rsidRDefault="005F5E7F" w:rsidP="005F5E7F"/>
    <w:tbl>
      <w:tblPr>
        <w:tblW w:w="96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45"/>
        <w:gridCol w:w="1377"/>
        <w:gridCol w:w="1377"/>
        <w:gridCol w:w="1123"/>
        <w:gridCol w:w="1376"/>
        <w:gridCol w:w="2522"/>
      </w:tblGrid>
      <w:tr w:rsidR="005F5E7F" w:rsidRPr="005F5E7F" w14:paraId="65FED1D0" w14:textId="77777777" w:rsidTr="005F5E7F">
        <w:trPr>
          <w:trHeight w:val="936"/>
        </w:trPr>
        <w:tc>
          <w:tcPr>
            <w:tcW w:w="2335" w:type="dxa"/>
            <w:vAlign w:val="center"/>
            <w:hideMark/>
          </w:tcPr>
          <w:p w14:paraId="73AAE29C" w14:textId="77777777" w:rsidR="005F5E7F" w:rsidRPr="005F5E7F" w:rsidRDefault="005F5E7F" w:rsidP="005F5E7F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5F5E7F">
              <w:rPr>
                <w:rFonts w:eastAsia="Times New Roman" w:cs="Times New Roman"/>
                <w:b/>
                <w:bCs/>
                <w:color w:val="000000"/>
                <w:kern w:val="0"/>
                <w14:ligatures w14:val="none"/>
              </w:rPr>
              <w:t>Scenario</w:t>
            </w:r>
          </w:p>
        </w:tc>
        <w:tc>
          <w:tcPr>
            <w:tcW w:w="1296" w:type="dxa"/>
            <w:noWrap/>
            <w:vAlign w:val="bottom"/>
            <w:hideMark/>
          </w:tcPr>
          <w:p w14:paraId="7DC46D02" w14:textId="6AB05A83" w:rsidR="005F5E7F" w:rsidRPr="005F5E7F" w:rsidRDefault="005F5E7F" w:rsidP="005F5E7F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u</m:t>
                    </m:r>
                  </m:sub>
                </m:sSub>
              </m:oMath>
            </m:oMathPara>
          </w:p>
          <w:p w14:paraId="0C0C6032" w14:textId="77777777" w:rsidR="005F5E7F" w:rsidRPr="005F5E7F" w:rsidRDefault="005F5E7F" w:rsidP="005F5E7F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256" w:type="dxa"/>
            <w:noWrap/>
            <w:vAlign w:val="bottom"/>
            <w:hideMark/>
          </w:tcPr>
          <w:p w14:paraId="51D3067A" w14:textId="494329C6" w:rsidR="005F5E7F" w:rsidRPr="005F5E7F" w:rsidRDefault="005F5E7F" w:rsidP="005F5E7F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o</m:t>
                    </m:r>
                  </m:sub>
                </m:sSub>
              </m:oMath>
            </m:oMathPara>
          </w:p>
          <w:p w14:paraId="25763033" w14:textId="77777777" w:rsidR="005F5E7F" w:rsidRPr="005F5E7F" w:rsidRDefault="005F5E7F" w:rsidP="005F5E7F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057" w:type="dxa"/>
            <w:vAlign w:val="center"/>
            <w:hideMark/>
          </w:tcPr>
          <w:p w14:paraId="4223D617" w14:textId="77777777" w:rsidR="005F5E7F" w:rsidRPr="005F5E7F" w:rsidRDefault="005F5E7F" w:rsidP="005F5E7F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5F5E7F">
              <w:rPr>
                <w:rFonts w:eastAsia="Times New Roman" w:cs="Times New Roman"/>
                <w:b/>
                <w:bCs/>
                <w:color w:val="000000"/>
                <w:kern w:val="0"/>
                <w14:ligatures w14:val="none"/>
              </w:rPr>
              <w:t xml:space="preserve">Critical </w:t>
            </w:r>
            <w:proofErr w:type="spellStart"/>
            <w:r w:rsidRPr="005F5E7F">
              <w:rPr>
                <w:rFonts w:eastAsia="Times New Roman" w:cs="Times New Roman"/>
                <w:b/>
                <w:bCs/>
                <w:color w:val="000000"/>
                <w:kern w:val="0"/>
                <w14:ligatures w14:val="none"/>
              </w:rPr>
              <w:t>Fractile</w:t>
            </w:r>
            <w:proofErr w:type="spellEnd"/>
            <w:r w:rsidRPr="005F5E7F">
              <w:rPr>
                <w:rFonts w:eastAsia="Times New Roman" w:cs="Times New Roman"/>
                <w:b/>
                <w:bCs/>
                <w:color w:val="000000"/>
                <w:kern w:val="0"/>
                <w14:ligatures w14:val="none"/>
              </w:rPr>
              <w:t xml:space="preserve"> </w:t>
            </w:r>
          </w:p>
        </w:tc>
        <w:tc>
          <w:tcPr>
            <w:tcW w:w="1297" w:type="dxa"/>
            <w:vAlign w:val="center"/>
            <w:hideMark/>
          </w:tcPr>
          <w:p w14:paraId="73D907B8" w14:textId="77777777" w:rsidR="005F5E7F" w:rsidRPr="005F5E7F" w:rsidRDefault="005F5E7F" w:rsidP="005F5E7F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5F5E7F">
              <w:rPr>
                <w:rFonts w:eastAsia="Times New Roman" w:cs="Times New Roman"/>
                <w:b/>
                <w:bCs/>
                <w:color w:val="000000"/>
                <w:kern w:val="0"/>
                <w14:ligatures w14:val="none"/>
              </w:rPr>
              <w:t>Committed Energy (kWh)</w:t>
            </w:r>
          </w:p>
        </w:tc>
        <w:tc>
          <w:tcPr>
            <w:tcW w:w="2379" w:type="dxa"/>
            <w:vAlign w:val="center"/>
            <w:hideMark/>
          </w:tcPr>
          <w:p w14:paraId="680A161A" w14:textId="77777777" w:rsidR="005F5E7F" w:rsidRPr="005F5E7F" w:rsidRDefault="005F5E7F" w:rsidP="005F5E7F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5F5E7F">
              <w:rPr>
                <w:rFonts w:eastAsia="Times New Roman" w:cs="Times New Roman"/>
                <w:b/>
                <w:bCs/>
                <w:color w:val="000000"/>
                <w:kern w:val="0"/>
                <w14:ligatures w14:val="none"/>
              </w:rPr>
              <w:t>Commitment/Forecast (%)</w:t>
            </w:r>
          </w:p>
        </w:tc>
      </w:tr>
      <w:tr w:rsidR="005F5E7F" w:rsidRPr="005F5E7F" w14:paraId="072727B2" w14:textId="77777777" w:rsidTr="005F5E7F">
        <w:trPr>
          <w:trHeight w:val="312"/>
        </w:trPr>
        <w:tc>
          <w:tcPr>
            <w:tcW w:w="2335" w:type="dxa"/>
            <w:vAlign w:val="center"/>
            <w:hideMark/>
          </w:tcPr>
          <w:p w14:paraId="7BC407C1" w14:textId="77777777" w:rsidR="005F5E7F" w:rsidRPr="005F5E7F" w:rsidRDefault="005F5E7F" w:rsidP="005F5E7F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5F5E7F">
              <w:rPr>
                <w:rFonts w:eastAsia="Times New Roman" w:cs="Times New Roman"/>
                <w:color w:val="000000"/>
                <w:kern w:val="0"/>
                <w14:ligatures w14:val="none"/>
              </w:rPr>
              <w:t>Low imbalance-cost</w:t>
            </w:r>
          </w:p>
        </w:tc>
        <w:tc>
          <w:tcPr>
            <w:tcW w:w="1296" w:type="dxa"/>
            <w:vAlign w:val="center"/>
            <w:hideMark/>
          </w:tcPr>
          <w:p w14:paraId="2A6A663C" w14:textId="77777777" w:rsidR="005F5E7F" w:rsidRPr="005F5E7F" w:rsidRDefault="005F5E7F" w:rsidP="005F5E7F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5F5E7F">
              <w:rPr>
                <w:rFonts w:eastAsia="Times New Roman" w:cs="Times New Roman"/>
                <w:color w:val="000000"/>
                <w:kern w:val="0"/>
                <w14:ligatures w14:val="none"/>
              </w:rPr>
              <w:t>Assumption</w:t>
            </w:r>
          </w:p>
        </w:tc>
        <w:tc>
          <w:tcPr>
            <w:tcW w:w="1256" w:type="dxa"/>
            <w:vAlign w:val="center"/>
            <w:hideMark/>
          </w:tcPr>
          <w:p w14:paraId="4EE0CDA9" w14:textId="77777777" w:rsidR="005F5E7F" w:rsidRPr="005F5E7F" w:rsidRDefault="005F5E7F" w:rsidP="005F5E7F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5F5E7F">
              <w:rPr>
                <w:rFonts w:eastAsia="Times New Roman" w:cs="Times New Roman"/>
                <w:color w:val="000000"/>
                <w:kern w:val="0"/>
                <w14:ligatures w14:val="none"/>
              </w:rPr>
              <w:t>Assumption</w:t>
            </w:r>
          </w:p>
        </w:tc>
        <w:tc>
          <w:tcPr>
            <w:tcW w:w="1057" w:type="dxa"/>
            <w:vAlign w:val="center"/>
            <w:hideMark/>
          </w:tcPr>
          <w:p w14:paraId="213E9946" w14:textId="77777777" w:rsidR="005F5E7F" w:rsidRPr="005F5E7F" w:rsidRDefault="005F5E7F" w:rsidP="005F5E7F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5F5E7F">
              <w:rPr>
                <w:rFonts w:eastAsia="Times New Roman" w:cs="Times New Roman"/>
                <w:color w:val="000000"/>
                <w:kern w:val="0"/>
                <w14:ligatures w14:val="none"/>
              </w:rPr>
              <w:t>Calculate</w:t>
            </w:r>
          </w:p>
        </w:tc>
        <w:tc>
          <w:tcPr>
            <w:tcW w:w="1297" w:type="dxa"/>
            <w:vAlign w:val="center"/>
            <w:hideMark/>
          </w:tcPr>
          <w:p w14:paraId="798AD3D7" w14:textId="77777777" w:rsidR="005F5E7F" w:rsidRPr="005F5E7F" w:rsidRDefault="005F5E7F" w:rsidP="005F5E7F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5F5E7F">
              <w:rPr>
                <w:rFonts w:eastAsia="Times New Roman" w:cs="Times New Roman"/>
                <w:color w:val="000000"/>
                <w:kern w:val="0"/>
                <w14:ligatures w14:val="none"/>
              </w:rPr>
              <w:t>Calculate</w:t>
            </w:r>
          </w:p>
        </w:tc>
        <w:tc>
          <w:tcPr>
            <w:tcW w:w="2379" w:type="dxa"/>
            <w:vAlign w:val="center"/>
            <w:hideMark/>
          </w:tcPr>
          <w:p w14:paraId="5DEDCEE6" w14:textId="77777777" w:rsidR="005F5E7F" w:rsidRPr="005F5E7F" w:rsidRDefault="005F5E7F" w:rsidP="005F5E7F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5F5E7F">
              <w:rPr>
                <w:rFonts w:eastAsia="Times New Roman" w:cs="Times New Roman"/>
                <w:color w:val="000000"/>
                <w:kern w:val="0"/>
                <w14:ligatures w14:val="none"/>
              </w:rPr>
              <w:t>Calculate</w:t>
            </w:r>
          </w:p>
        </w:tc>
      </w:tr>
      <w:tr w:rsidR="005F5E7F" w:rsidRPr="005F5E7F" w14:paraId="110D4763" w14:textId="77777777" w:rsidTr="005F5E7F">
        <w:trPr>
          <w:trHeight w:val="312"/>
        </w:trPr>
        <w:tc>
          <w:tcPr>
            <w:tcW w:w="2335" w:type="dxa"/>
            <w:vAlign w:val="center"/>
            <w:hideMark/>
          </w:tcPr>
          <w:p w14:paraId="042A9EDA" w14:textId="77777777" w:rsidR="005F5E7F" w:rsidRPr="005F5E7F" w:rsidRDefault="005F5E7F" w:rsidP="005F5E7F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5F5E7F">
              <w:rPr>
                <w:rFonts w:eastAsia="Times New Roman" w:cs="Times New Roman"/>
                <w:color w:val="000000"/>
                <w:kern w:val="0"/>
                <w14:ligatures w14:val="none"/>
              </w:rPr>
              <w:t>Base case</w:t>
            </w:r>
          </w:p>
        </w:tc>
        <w:tc>
          <w:tcPr>
            <w:tcW w:w="1296" w:type="dxa"/>
            <w:vAlign w:val="center"/>
            <w:hideMark/>
          </w:tcPr>
          <w:p w14:paraId="721CB3BC" w14:textId="77777777" w:rsidR="005F5E7F" w:rsidRPr="005F5E7F" w:rsidRDefault="005F5E7F" w:rsidP="005F5E7F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5F5E7F">
              <w:rPr>
                <w:rFonts w:eastAsia="Times New Roman" w:cs="Times New Roman"/>
                <w:color w:val="000000"/>
                <w:kern w:val="0"/>
                <w14:ligatures w14:val="none"/>
              </w:rPr>
              <w:t>Assumption</w:t>
            </w:r>
          </w:p>
        </w:tc>
        <w:tc>
          <w:tcPr>
            <w:tcW w:w="1256" w:type="dxa"/>
            <w:vAlign w:val="center"/>
            <w:hideMark/>
          </w:tcPr>
          <w:p w14:paraId="52282962" w14:textId="77777777" w:rsidR="005F5E7F" w:rsidRPr="005F5E7F" w:rsidRDefault="005F5E7F" w:rsidP="005F5E7F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5F5E7F">
              <w:rPr>
                <w:rFonts w:eastAsia="Times New Roman" w:cs="Times New Roman"/>
                <w:color w:val="000000"/>
                <w:kern w:val="0"/>
                <w14:ligatures w14:val="none"/>
              </w:rPr>
              <w:t>Assumption</w:t>
            </w:r>
          </w:p>
        </w:tc>
        <w:tc>
          <w:tcPr>
            <w:tcW w:w="1057" w:type="dxa"/>
            <w:vAlign w:val="center"/>
            <w:hideMark/>
          </w:tcPr>
          <w:p w14:paraId="69C878A1" w14:textId="77777777" w:rsidR="005F5E7F" w:rsidRPr="005F5E7F" w:rsidRDefault="005F5E7F" w:rsidP="005F5E7F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5F5E7F">
              <w:rPr>
                <w:rFonts w:eastAsia="Times New Roman" w:cs="Times New Roman"/>
                <w:color w:val="000000"/>
                <w:kern w:val="0"/>
                <w14:ligatures w14:val="none"/>
              </w:rPr>
              <w:t>Calculate</w:t>
            </w:r>
          </w:p>
        </w:tc>
        <w:tc>
          <w:tcPr>
            <w:tcW w:w="1297" w:type="dxa"/>
            <w:vAlign w:val="center"/>
            <w:hideMark/>
          </w:tcPr>
          <w:p w14:paraId="4AC8A522" w14:textId="77777777" w:rsidR="005F5E7F" w:rsidRPr="005F5E7F" w:rsidRDefault="005F5E7F" w:rsidP="005F5E7F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5F5E7F">
              <w:rPr>
                <w:rFonts w:eastAsia="Times New Roman" w:cs="Times New Roman"/>
                <w:color w:val="000000"/>
                <w:kern w:val="0"/>
                <w14:ligatures w14:val="none"/>
              </w:rPr>
              <w:t>Calculate</w:t>
            </w:r>
          </w:p>
        </w:tc>
        <w:tc>
          <w:tcPr>
            <w:tcW w:w="2379" w:type="dxa"/>
            <w:vAlign w:val="center"/>
            <w:hideMark/>
          </w:tcPr>
          <w:p w14:paraId="0E73F1BB" w14:textId="77777777" w:rsidR="005F5E7F" w:rsidRPr="005F5E7F" w:rsidRDefault="005F5E7F" w:rsidP="005F5E7F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5F5E7F">
              <w:rPr>
                <w:rFonts w:eastAsia="Times New Roman" w:cs="Times New Roman"/>
                <w:color w:val="000000"/>
                <w:kern w:val="0"/>
                <w14:ligatures w14:val="none"/>
              </w:rPr>
              <w:t>Calculate</w:t>
            </w:r>
          </w:p>
        </w:tc>
      </w:tr>
      <w:tr w:rsidR="005F5E7F" w:rsidRPr="005F5E7F" w14:paraId="2E0D2305" w14:textId="77777777" w:rsidTr="005F5E7F">
        <w:trPr>
          <w:trHeight w:val="312"/>
        </w:trPr>
        <w:tc>
          <w:tcPr>
            <w:tcW w:w="2335" w:type="dxa"/>
            <w:vAlign w:val="center"/>
            <w:hideMark/>
          </w:tcPr>
          <w:p w14:paraId="45785A23" w14:textId="77777777" w:rsidR="005F5E7F" w:rsidRPr="005F5E7F" w:rsidRDefault="005F5E7F" w:rsidP="005F5E7F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5F5E7F">
              <w:rPr>
                <w:rFonts w:eastAsia="Times New Roman" w:cs="Times New Roman"/>
                <w:color w:val="000000"/>
                <w:kern w:val="0"/>
                <w14:ligatures w14:val="none"/>
              </w:rPr>
              <w:t>High imbalance-cost</w:t>
            </w:r>
          </w:p>
        </w:tc>
        <w:tc>
          <w:tcPr>
            <w:tcW w:w="1296" w:type="dxa"/>
            <w:vAlign w:val="center"/>
            <w:hideMark/>
          </w:tcPr>
          <w:p w14:paraId="3526BAE5" w14:textId="77777777" w:rsidR="005F5E7F" w:rsidRPr="005F5E7F" w:rsidRDefault="005F5E7F" w:rsidP="005F5E7F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5F5E7F">
              <w:rPr>
                <w:rFonts w:eastAsia="Times New Roman" w:cs="Times New Roman"/>
                <w:color w:val="000000"/>
                <w:kern w:val="0"/>
                <w14:ligatures w14:val="none"/>
              </w:rPr>
              <w:t>Assumption</w:t>
            </w:r>
          </w:p>
        </w:tc>
        <w:tc>
          <w:tcPr>
            <w:tcW w:w="1256" w:type="dxa"/>
            <w:vAlign w:val="center"/>
            <w:hideMark/>
          </w:tcPr>
          <w:p w14:paraId="29DCB64A" w14:textId="77777777" w:rsidR="005F5E7F" w:rsidRPr="005F5E7F" w:rsidRDefault="005F5E7F" w:rsidP="005F5E7F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5F5E7F">
              <w:rPr>
                <w:rFonts w:eastAsia="Times New Roman" w:cs="Times New Roman"/>
                <w:color w:val="000000"/>
                <w:kern w:val="0"/>
                <w14:ligatures w14:val="none"/>
              </w:rPr>
              <w:t>Assumption</w:t>
            </w:r>
          </w:p>
        </w:tc>
        <w:tc>
          <w:tcPr>
            <w:tcW w:w="1057" w:type="dxa"/>
            <w:vAlign w:val="center"/>
            <w:hideMark/>
          </w:tcPr>
          <w:p w14:paraId="1349F938" w14:textId="77777777" w:rsidR="005F5E7F" w:rsidRPr="005F5E7F" w:rsidRDefault="005F5E7F" w:rsidP="005F5E7F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5F5E7F">
              <w:rPr>
                <w:rFonts w:eastAsia="Times New Roman" w:cs="Times New Roman"/>
                <w:color w:val="000000"/>
                <w:kern w:val="0"/>
                <w14:ligatures w14:val="none"/>
              </w:rPr>
              <w:t>Calculate</w:t>
            </w:r>
          </w:p>
        </w:tc>
        <w:tc>
          <w:tcPr>
            <w:tcW w:w="1297" w:type="dxa"/>
            <w:vAlign w:val="center"/>
            <w:hideMark/>
          </w:tcPr>
          <w:p w14:paraId="17EAA600" w14:textId="77777777" w:rsidR="005F5E7F" w:rsidRPr="005F5E7F" w:rsidRDefault="005F5E7F" w:rsidP="005F5E7F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5F5E7F">
              <w:rPr>
                <w:rFonts w:eastAsia="Times New Roman" w:cs="Times New Roman"/>
                <w:color w:val="000000"/>
                <w:kern w:val="0"/>
                <w14:ligatures w14:val="none"/>
              </w:rPr>
              <w:t>Calculate</w:t>
            </w:r>
          </w:p>
        </w:tc>
        <w:tc>
          <w:tcPr>
            <w:tcW w:w="2379" w:type="dxa"/>
            <w:vAlign w:val="center"/>
            <w:hideMark/>
          </w:tcPr>
          <w:p w14:paraId="1FEEFA82" w14:textId="77777777" w:rsidR="005F5E7F" w:rsidRPr="005F5E7F" w:rsidRDefault="005F5E7F" w:rsidP="005F5E7F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5F5E7F">
              <w:rPr>
                <w:rFonts w:eastAsia="Times New Roman" w:cs="Times New Roman"/>
                <w:color w:val="000000"/>
                <w:kern w:val="0"/>
                <w14:ligatures w14:val="none"/>
              </w:rPr>
              <w:t>Calculate</w:t>
            </w:r>
          </w:p>
        </w:tc>
      </w:tr>
    </w:tbl>
    <w:p w14:paraId="4C8C1DF6" w14:textId="77777777" w:rsidR="005F5E7F" w:rsidRDefault="005F5E7F" w:rsidP="005F5E7F"/>
    <w:p w14:paraId="0E212741" w14:textId="77777777" w:rsidR="005F5E7F" w:rsidRPr="005F5E7F" w:rsidRDefault="005F5E7F" w:rsidP="005F5E7F"/>
    <w:p w14:paraId="1843C5B7" w14:textId="34981B4B" w:rsidR="005F5E7F" w:rsidRPr="005F5E7F" w:rsidRDefault="005F5E7F" w:rsidP="005F5E7F">
      <w:r w:rsidRPr="005F5E7F">
        <w:t xml:space="preserve">The exact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u</m:t>
            </m:r>
          </m:sub>
        </m:sSub>
      </m:oMath>
      <w:r w:rsidRPr="005F5E7F">
        <w:t xml:space="preserve">and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o</m:t>
            </m:r>
          </m:sub>
        </m:sSub>
      </m:oMath>
      <w:r w:rsidRPr="005F5E7F">
        <w:t xml:space="preserve">assumptions should be explicitly documented and justified. Since the dissertation uses assumed market prices and imbalance parameters rather than historical market settlement data, the resulting commitments should be described as </w:t>
      </w:r>
      <w:r w:rsidRPr="005F5E7F">
        <w:rPr>
          <w:b/>
          <w:bCs/>
        </w:rPr>
        <w:t>scenario-based</w:t>
      </w:r>
      <w:r w:rsidRPr="005F5E7F">
        <w:t xml:space="preserve">. </w:t>
      </w:r>
    </w:p>
    <w:p w14:paraId="7B04AA82" w14:textId="77777777" w:rsidR="005F5E7F" w:rsidRPr="005F5E7F" w:rsidRDefault="005F5E7F" w:rsidP="005F5E7F">
      <w:pPr>
        <w:rPr>
          <w:b/>
          <w:bCs/>
        </w:rPr>
      </w:pPr>
      <w:r w:rsidRPr="005F5E7F">
        <w:rPr>
          <w:b/>
          <w:bCs/>
        </w:rPr>
        <w:t>5. Required Final Result</w:t>
      </w:r>
    </w:p>
    <w:p w14:paraId="7D0E43CB" w14:textId="77777777" w:rsidR="005F5E7F" w:rsidRDefault="005F5E7F" w:rsidP="005F5E7F">
      <w:r w:rsidRPr="005F5E7F">
        <w:lastRenderedPageBreak/>
        <w:t>Prepare one consolidated results table:</w:t>
      </w:r>
    </w:p>
    <w:tbl>
      <w:tblPr>
        <w:tblW w:w="8890" w:type="dxa"/>
        <w:jc w:val="center"/>
        <w:tblLook w:val="04A0" w:firstRow="1" w:lastRow="0" w:firstColumn="1" w:lastColumn="0" w:noHBand="0" w:noVBand="1"/>
      </w:tblPr>
      <w:tblGrid>
        <w:gridCol w:w="3700"/>
        <w:gridCol w:w="1605"/>
        <w:gridCol w:w="1620"/>
        <w:gridCol w:w="1965"/>
      </w:tblGrid>
      <w:tr w:rsidR="005F5E7F" w:rsidRPr="005F5E7F" w14:paraId="42EEFBA9" w14:textId="77777777" w:rsidTr="005F5E7F">
        <w:trPr>
          <w:trHeight w:val="624"/>
          <w:jc w:val="center"/>
        </w:trPr>
        <w:tc>
          <w:tcPr>
            <w:tcW w:w="3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2607A1" w14:textId="77777777" w:rsidR="005F5E7F" w:rsidRPr="005F5E7F" w:rsidRDefault="005F5E7F" w:rsidP="005F5E7F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5F5E7F">
              <w:rPr>
                <w:rFonts w:eastAsia="Times New Roman" w:cs="Times New Roman"/>
                <w:b/>
                <w:bCs/>
                <w:color w:val="000000"/>
                <w:kern w:val="0"/>
                <w14:ligatures w14:val="none"/>
              </w:rPr>
              <w:t>Parameter</w:t>
            </w:r>
          </w:p>
        </w:tc>
        <w:tc>
          <w:tcPr>
            <w:tcW w:w="16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FF876C" w14:textId="77777777" w:rsidR="005F5E7F" w:rsidRPr="005F5E7F" w:rsidRDefault="005F5E7F" w:rsidP="005F5E7F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5F5E7F">
              <w:rPr>
                <w:rFonts w:eastAsia="Times New Roman" w:cs="Times New Roman"/>
                <w:b/>
                <w:bCs/>
                <w:color w:val="000000"/>
                <w:kern w:val="0"/>
                <w14:ligatures w14:val="none"/>
              </w:rPr>
              <w:t>Low-Cost Scenario</w:t>
            </w:r>
          </w:p>
        </w:tc>
        <w:tc>
          <w:tcPr>
            <w:tcW w:w="16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FB3591" w14:textId="77777777" w:rsidR="005F5E7F" w:rsidRPr="005F5E7F" w:rsidRDefault="005F5E7F" w:rsidP="005F5E7F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5F5E7F">
              <w:rPr>
                <w:rFonts w:eastAsia="Times New Roman" w:cs="Times New Roman"/>
                <w:b/>
                <w:bCs/>
                <w:color w:val="000000"/>
                <w:kern w:val="0"/>
                <w14:ligatures w14:val="none"/>
              </w:rPr>
              <w:t>Base Scenario</w:t>
            </w:r>
          </w:p>
        </w:tc>
        <w:tc>
          <w:tcPr>
            <w:tcW w:w="19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42D4EA" w14:textId="77777777" w:rsidR="005F5E7F" w:rsidRPr="005F5E7F" w:rsidRDefault="005F5E7F" w:rsidP="005F5E7F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5F5E7F">
              <w:rPr>
                <w:rFonts w:eastAsia="Times New Roman" w:cs="Times New Roman"/>
                <w:b/>
                <w:bCs/>
                <w:color w:val="000000"/>
                <w:kern w:val="0"/>
                <w14:ligatures w14:val="none"/>
              </w:rPr>
              <w:t>High-Cost Scenario</w:t>
            </w:r>
          </w:p>
        </w:tc>
      </w:tr>
      <w:tr w:rsidR="005F5E7F" w:rsidRPr="005F5E7F" w14:paraId="2604CFA4" w14:textId="77777777" w:rsidTr="005F5E7F">
        <w:trPr>
          <w:trHeight w:val="324"/>
          <w:jc w:val="center"/>
        </w:trPr>
        <w:tc>
          <w:tcPr>
            <w:tcW w:w="3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395689" w14:textId="77777777" w:rsidR="005F5E7F" w:rsidRPr="005F5E7F" w:rsidRDefault="005F5E7F" w:rsidP="005F5E7F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5F5E7F">
              <w:rPr>
                <w:rFonts w:eastAsia="Times New Roman" w:cs="Times New Roman"/>
                <w:color w:val="000000"/>
                <w:kern w:val="0"/>
                <w14:ligatures w14:val="none"/>
              </w:rPr>
              <w:t>12:00–13:00 forecast energy (kWh)</w:t>
            </w:r>
          </w:p>
        </w:tc>
        <w:tc>
          <w:tcPr>
            <w:tcW w:w="16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B9C54C" w14:textId="77777777" w:rsidR="005F5E7F" w:rsidRPr="005F5E7F" w:rsidRDefault="005F5E7F" w:rsidP="005F5E7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5F5E7F">
              <w:rPr>
                <w:rFonts w:eastAsia="Times New Roman" w:cs="Times New Roman"/>
                <w:color w:val="000000"/>
                <w:kern w:val="0"/>
                <w14:ligatures w14:val="none"/>
              </w:rPr>
              <w:t>X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D2D44A" w14:textId="77777777" w:rsidR="005F5E7F" w:rsidRPr="005F5E7F" w:rsidRDefault="005F5E7F" w:rsidP="005F5E7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5F5E7F">
              <w:rPr>
                <w:rFonts w:eastAsia="Times New Roman" w:cs="Times New Roman"/>
                <w:color w:val="000000"/>
                <w:kern w:val="0"/>
                <w14:ligatures w14:val="none"/>
              </w:rPr>
              <w:t>X</w:t>
            </w:r>
          </w:p>
        </w:tc>
        <w:tc>
          <w:tcPr>
            <w:tcW w:w="19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27195C" w14:textId="77777777" w:rsidR="005F5E7F" w:rsidRPr="005F5E7F" w:rsidRDefault="005F5E7F" w:rsidP="005F5E7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5F5E7F">
              <w:rPr>
                <w:rFonts w:eastAsia="Times New Roman" w:cs="Times New Roman"/>
                <w:color w:val="000000"/>
                <w:kern w:val="0"/>
                <w14:ligatures w14:val="none"/>
              </w:rPr>
              <w:t>X</w:t>
            </w:r>
          </w:p>
        </w:tc>
      </w:tr>
      <w:tr w:rsidR="005F5E7F" w:rsidRPr="005F5E7F" w14:paraId="0AD82137" w14:textId="77777777" w:rsidTr="005F5E7F">
        <w:trPr>
          <w:trHeight w:val="636"/>
          <w:jc w:val="center"/>
        </w:trPr>
        <w:tc>
          <w:tcPr>
            <w:tcW w:w="3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9E8BBD" w14:textId="77777777" w:rsidR="005F5E7F" w:rsidRPr="005F5E7F" w:rsidRDefault="005F5E7F" w:rsidP="005F5E7F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5F5E7F">
              <w:rPr>
                <w:rFonts w:eastAsia="Times New Roman" w:cs="Times New Roman"/>
                <w:color w:val="000000"/>
                <w:kern w:val="0"/>
                <w14:ligatures w14:val="none"/>
              </w:rPr>
              <w:t>Forecast uncertainty / relevant quantile</w:t>
            </w:r>
          </w:p>
        </w:tc>
        <w:tc>
          <w:tcPr>
            <w:tcW w:w="16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639E3C" w14:textId="77777777" w:rsidR="005F5E7F" w:rsidRPr="005F5E7F" w:rsidRDefault="005F5E7F" w:rsidP="005F5E7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5F5E7F">
              <w:rPr>
                <w:rFonts w:eastAsia="Times New Roman" w:cs="Times New Roman"/>
                <w:color w:val="000000"/>
                <w:kern w:val="0"/>
                <w14:ligatures w14:val="none"/>
              </w:rPr>
              <w:t>X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BA5610" w14:textId="77777777" w:rsidR="005F5E7F" w:rsidRPr="005F5E7F" w:rsidRDefault="005F5E7F" w:rsidP="005F5E7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5F5E7F">
              <w:rPr>
                <w:rFonts w:eastAsia="Times New Roman" w:cs="Times New Roman"/>
                <w:color w:val="000000"/>
                <w:kern w:val="0"/>
                <w14:ligatures w14:val="none"/>
              </w:rPr>
              <w:t>X</w:t>
            </w:r>
          </w:p>
        </w:tc>
        <w:tc>
          <w:tcPr>
            <w:tcW w:w="19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847DBB" w14:textId="77777777" w:rsidR="005F5E7F" w:rsidRPr="005F5E7F" w:rsidRDefault="005F5E7F" w:rsidP="005F5E7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5F5E7F">
              <w:rPr>
                <w:rFonts w:eastAsia="Times New Roman" w:cs="Times New Roman"/>
                <w:color w:val="000000"/>
                <w:kern w:val="0"/>
                <w14:ligatures w14:val="none"/>
              </w:rPr>
              <w:t>X</w:t>
            </w:r>
          </w:p>
        </w:tc>
      </w:tr>
      <w:tr w:rsidR="005F5E7F" w:rsidRPr="005F5E7F" w14:paraId="26B2BDC9" w14:textId="77777777" w:rsidTr="005F5E7F">
        <w:trPr>
          <w:trHeight w:val="312"/>
          <w:jc w:val="center"/>
        </w:trPr>
        <w:tc>
          <w:tcPr>
            <w:tcW w:w="3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7EE9E3" w14:textId="77777777" w:rsidR="005F5E7F" w:rsidRPr="005F5E7F" w:rsidRDefault="005F5E7F" w:rsidP="005F5E7F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5F5E7F">
              <w:rPr>
                <w:rFonts w:eastAsia="Times New Roman" w:cs="Times New Roman"/>
                <w:color w:val="000000"/>
                <w:kern w:val="0"/>
                <w14:ligatures w14:val="none"/>
              </w:rPr>
              <w:t xml:space="preserve">Critical </w:t>
            </w:r>
            <w:proofErr w:type="spellStart"/>
            <w:r w:rsidRPr="005F5E7F">
              <w:rPr>
                <w:rFonts w:eastAsia="Times New Roman" w:cs="Times New Roman"/>
                <w:color w:val="000000"/>
                <w:kern w:val="0"/>
                <w14:ligatures w14:val="none"/>
              </w:rPr>
              <w:t>Fractile</w:t>
            </w:r>
            <w:proofErr w:type="spellEnd"/>
          </w:p>
        </w:tc>
        <w:tc>
          <w:tcPr>
            <w:tcW w:w="16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DF7811" w14:textId="77777777" w:rsidR="005F5E7F" w:rsidRPr="005F5E7F" w:rsidRDefault="005F5E7F" w:rsidP="005F5E7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5F5E7F">
              <w:rPr>
                <w:rFonts w:eastAsia="Times New Roman" w:cs="Times New Roman"/>
                <w:color w:val="000000"/>
                <w:kern w:val="0"/>
                <w14:ligatures w14:val="none"/>
              </w:rPr>
              <w:t>X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0DEC67" w14:textId="77777777" w:rsidR="005F5E7F" w:rsidRPr="005F5E7F" w:rsidRDefault="005F5E7F" w:rsidP="005F5E7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5F5E7F">
              <w:rPr>
                <w:rFonts w:eastAsia="Times New Roman" w:cs="Times New Roman"/>
                <w:color w:val="000000"/>
                <w:kern w:val="0"/>
                <w14:ligatures w14:val="none"/>
              </w:rPr>
              <w:t>X</w:t>
            </w:r>
          </w:p>
        </w:tc>
        <w:tc>
          <w:tcPr>
            <w:tcW w:w="19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332F84" w14:textId="77777777" w:rsidR="005F5E7F" w:rsidRPr="005F5E7F" w:rsidRDefault="005F5E7F" w:rsidP="005F5E7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5F5E7F">
              <w:rPr>
                <w:rFonts w:eastAsia="Times New Roman" w:cs="Times New Roman"/>
                <w:color w:val="000000"/>
                <w:kern w:val="0"/>
                <w14:ligatures w14:val="none"/>
              </w:rPr>
              <w:t>X</w:t>
            </w:r>
          </w:p>
        </w:tc>
      </w:tr>
      <w:tr w:rsidR="005F5E7F" w:rsidRPr="005F5E7F" w14:paraId="4A7BC5B6" w14:textId="77777777" w:rsidTr="005F5E7F">
        <w:trPr>
          <w:trHeight w:val="312"/>
          <w:jc w:val="center"/>
        </w:trPr>
        <w:tc>
          <w:tcPr>
            <w:tcW w:w="3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2791E6" w14:textId="77777777" w:rsidR="005F5E7F" w:rsidRPr="005F5E7F" w:rsidRDefault="005F5E7F" w:rsidP="005F5E7F">
            <w:pPr>
              <w:spacing w:after="0" w:line="240" w:lineRule="auto"/>
              <w:jc w:val="left"/>
              <w:rPr>
                <w:rFonts w:eastAsia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5F5E7F">
              <w:rPr>
                <w:rFonts w:eastAsia="Times New Roman" w:cs="Times New Roman"/>
                <w:b/>
                <w:bCs/>
                <w:color w:val="000000"/>
                <w:kern w:val="0"/>
                <w14:ligatures w14:val="none"/>
              </w:rPr>
              <w:t>Committed energy (kWh)</w:t>
            </w:r>
          </w:p>
        </w:tc>
        <w:tc>
          <w:tcPr>
            <w:tcW w:w="16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150224" w14:textId="77777777" w:rsidR="005F5E7F" w:rsidRPr="005F5E7F" w:rsidRDefault="005F5E7F" w:rsidP="005F5E7F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5F5E7F">
              <w:rPr>
                <w:rFonts w:eastAsia="Times New Roman" w:cs="Times New Roman"/>
                <w:b/>
                <w:bCs/>
                <w:color w:val="000000"/>
                <w:kern w:val="0"/>
                <w14:ligatures w14:val="none"/>
              </w:rPr>
              <w:t>X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FFF3E6" w14:textId="77777777" w:rsidR="005F5E7F" w:rsidRPr="005F5E7F" w:rsidRDefault="005F5E7F" w:rsidP="005F5E7F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5F5E7F">
              <w:rPr>
                <w:rFonts w:eastAsia="Times New Roman" w:cs="Times New Roman"/>
                <w:b/>
                <w:bCs/>
                <w:color w:val="000000"/>
                <w:kern w:val="0"/>
                <w14:ligatures w14:val="none"/>
              </w:rPr>
              <w:t>X</w:t>
            </w:r>
          </w:p>
        </w:tc>
        <w:tc>
          <w:tcPr>
            <w:tcW w:w="19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3C89B5" w14:textId="77777777" w:rsidR="005F5E7F" w:rsidRPr="005F5E7F" w:rsidRDefault="005F5E7F" w:rsidP="005F5E7F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5F5E7F">
              <w:rPr>
                <w:rFonts w:eastAsia="Times New Roman" w:cs="Times New Roman"/>
                <w:b/>
                <w:bCs/>
                <w:color w:val="000000"/>
                <w:kern w:val="0"/>
                <w14:ligatures w14:val="none"/>
              </w:rPr>
              <w:t>X</w:t>
            </w:r>
          </w:p>
        </w:tc>
      </w:tr>
      <w:tr w:rsidR="005F5E7F" w:rsidRPr="005F5E7F" w14:paraId="3325DBD6" w14:textId="77777777" w:rsidTr="005F5E7F">
        <w:trPr>
          <w:trHeight w:val="312"/>
          <w:jc w:val="center"/>
        </w:trPr>
        <w:tc>
          <w:tcPr>
            <w:tcW w:w="3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5CB29C" w14:textId="77777777" w:rsidR="005F5E7F" w:rsidRPr="005F5E7F" w:rsidRDefault="005F5E7F" w:rsidP="005F5E7F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5F5E7F">
              <w:rPr>
                <w:rFonts w:eastAsia="Times New Roman" w:cs="Times New Roman"/>
                <w:color w:val="000000"/>
                <w:kern w:val="0"/>
                <w14:ligatures w14:val="none"/>
              </w:rPr>
              <w:t>Commitment as % of forecast</w:t>
            </w:r>
          </w:p>
        </w:tc>
        <w:tc>
          <w:tcPr>
            <w:tcW w:w="16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3CB5D5" w14:textId="77777777" w:rsidR="005F5E7F" w:rsidRPr="005F5E7F" w:rsidRDefault="005F5E7F" w:rsidP="005F5E7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5F5E7F">
              <w:rPr>
                <w:rFonts w:eastAsia="Times New Roman" w:cs="Times New Roman"/>
                <w:color w:val="000000"/>
                <w:kern w:val="0"/>
                <w14:ligatures w14:val="none"/>
              </w:rPr>
              <w:t>X%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1877D4" w14:textId="77777777" w:rsidR="005F5E7F" w:rsidRPr="005F5E7F" w:rsidRDefault="005F5E7F" w:rsidP="005F5E7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5F5E7F">
              <w:rPr>
                <w:rFonts w:eastAsia="Times New Roman" w:cs="Times New Roman"/>
                <w:color w:val="000000"/>
                <w:kern w:val="0"/>
                <w14:ligatures w14:val="none"/>
              </w:rPr>
              <w:t>X%</w:t>
            </w:r>
          </w:p>
        </w:tc>
        <w:tc>
          <w:tcPr>
            <w:tcW w:w="19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B9FCD9" w14:textId="77777777" w:rsidR="005F5E7F" w:rsidRPr="005F5E7F" w:rsidRDefault="005F5E7F" w:rsidP="005F5E7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5F5E7F">
              <w:rPr>
                <w:rFonts w:eastAsia="Times New Roman" w:cs="Times New Roman"/>
                <w:color w:val="000000"/>
                <w:kern w:val="0"/>
                <w14:ligatures w14:val="none"/>
              </w:rPr>
              <w:t>X%</w:t>
            </w:r>
          </w:p>
        </w:tc>
      </w:tr>
      <w:tr w:rsidR="005F5E7F" w:rsidRPr="005F5E7F" w14:paraId="3D9CC6C4" w14:textId="77777777" w:rsidTr="005F5E7F">
        <w:trPr>
          <w:trHeight w:val="312"/>
          <w:jc w:val="center"/>
        </w:trPr>
        <w:tc>
          <w:tcPr>
            <w:tcW w:w="3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6F73C3" w14:textId="77777777" w:rsidR="005F5E7F" w:rsidRPr="005F5E7F" w:rsidRDefault="005F5E7F" w:rsidP="005F5E7F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5F5E7F">
              <w:rPr>
                <w:rFonts w:eastAsia="Times New Roman" w:cs="Times New Roman"/>
                <w:color w:val="000000"/>
                <w:kern w:val="0"/>
                <w14:ligatures w14:val="none"/>
              </w:rPr>
              <w:t>Actual Strathmore energy (kWh)</w:t>
            </w:r>
          </w:p>
        </w:tc>
        <w:tc>
          <w:tcPr>
            <w:tcW w:w="16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B8E392" w14:textId="77777777" w:rsidR="005F5E7F" w:rsidRPr="005F5E7F" w:rsidRDefault="005F5E7F" w:rsidP="005F5E7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5F5E7F">
              <w:rPr>
                <w:rFonts w:eastAsia="Times New Roman" w:cs="Times New Roman"/>
                <w:color w:val="000000"/>
                <w:kern w:val="0"/>
                <w14:ligatures w14:val="none"/>
              </w:rPr>
              <w:t>X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FF28CF" w14:textId="77777777" w:rsidR="005F5E7F" w:rsidRPr="005F5E7F" w:rsidRDefault="005F5E7F" w:rsidP="005F5E7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5F5E7F">
              <w:rPr>
                <w:rFonts w:eastAsia="Times New Roman" w:cs="Times New Roman"/>
                <w:color w:val="000000"/>
                <w:kern w:val="0"/>
                <w14:ligatures w14:val="none"/>
              </w:rPr>
              <w:t>X</w:t>
            </w:r>
          </w:p>
        </w:tc>
        <w:tc>
          <w:tcPr>
            <w:tcW w:w="19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CD860F" w14:textId="77777777" w:rsidR="005F5E7F" w:rsidRPr="005F5E7F" w:rsidRDefault="005F5E7F" w:rsidP="005F5E7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5F5E7F">
              <w:rPr>
                <w:rFonts w:eastAsia="Times New Roman" w:cs="Times New Roman"/>
                <w:color w:val="000000"/>
                <w:kern w:val="0"/>
                <w14:ligatures w14:val="none"/>
              </w:rPr>
              <w:t>X</w:t>
            </w:r>
          </w:p>
        </w:tc>
      </w:tr>
      <w:tr w:rsidR="005F5E7F" w:rsidRPr="005F5E7F" w14:paraId="4D5AF82B" w14:textId="77777777" w:rsidTr="005F5E7F">
        <w:trPr>
          <w:trHeight w:val="324"/>
          <w:jc w:val="center"/>
        </w:trPr>
        <w:tc>
          <w:tcPr>
            <w:tcW w:w="3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821476" w14:textId="77777777" w:rsidR="005F5E7F" w:rsidRPr="005F5E7F" w:rsidRDefault="005F5E7F" w:rsidP="005F5E7F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5F5E7F">
              <w:rPr>
                <w:rFonts w:eastAsia="Times New Roman" w:cs="Times New Roman"/>
                <w:color w:val="000000"/>
                <w:kern w:val="0"/>
                <w14:ligatures w14:val="none"/>
              </w:rPr>
              <w:t>Shortfall energy (kWh)</w:t>
            </w:r>
          </w:p>
        </w:tc>
        <w:tc>
          <w:tcPr>
            <w:tcW w:w="16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57C2BE" w14:textId="77777777" w:rsidR="005F5E7F" w:rsidRPr="005F5E7F" w:rsidRDefault="005F5E7F" w:rsidP="005F5E7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5F5E7F">
              <w:rPr>
                <w:rFonts w:eastAsia="Times New Roman" w:cs="Times New Roman"/>
                <w:color w:val="000000"/>
                <w:kern w:val="0"/>
                <w14:ligatures w14:val="none"/>
              </w:rPr>
              <w:t>X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D6BEA1" w14:textId="77777777" w:rsidR="005F5E7F" w:rsidRPr="005F5E7F" w:rsidRDefault="005F5E7F" w:rsidP="005F5E7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5F5E7F">
              <w:rPr>
                <w:rFonts w:eastAsia="Times New Roman" w:cs="Times New Roman"/>
                <w:color w:val="000000"/>
                <w:kern w:val="0"/>
                <w14:ligatures w14:val="none"/>
              </w:rPr>
              <w:t>X</w:t>
            </w:r>
          </w:p>
        </w:tc>
        <w:tc>
          <w:tcPr>
            <w:tcW w:w="19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5BE487" w14:textId="77777777" w:rsidR="005F5E7F" w:rsidRPr="005F5E7F" w:rsidRDefault="005F5E7F" w:rsidP="005F5E7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5F5E7F">
              <w:rPr>
                <w:rFonts w:eastAsia="Times New Roman" w:cs="Times New Roman"/>
                <w:color w:val="000000"/>
                <w:kern w:val="0"/>
                <w14:ligatures w14:val="none"/>
              </w:rPr>
              <w:t>X</w:t>
            </w:r>
          </w:p>
        </w:tc>
      </w:tr>
      <w:tr w:rsidR="005F5E7F" w:rsidRPr="005F5E7F" w14:paraId="1AA4D726" w14:textId="77777777" w:rsidTr="005F5E7F">
        <w:trPr>
          <w:trHeight w:val="312"/>
          <w:jc w:val="center"/>
        </w:trPr>
        <w:tc>
          <w:tcPr>
            <w:tcW w:w="3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EF5D64" w14:textId="77777777" w:rsidR="005F5E7F" w:rsidRPr="005F5E7F" w:rsidRDefault="005F5E7F" w:rsidP="005F5E7F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5F5E7F">
              <w:rPr>
                <w:rFonts w:eastAsia="Times New Roman" w:cs="Times New Roman"/>
                <w:color w:val="000000"/>
                <w:kern w:val="0"/>
                <w14:ligatures w14:val="none"/>
              </w:rPr>
              <w:t>Surplus energy (kWh)</w:t>
            </w:r>
          </w:p>
        </w:tc>
        <w:tc>
          <w:tcPr>
            <w:tcW w:w="16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DEA204" w14:textId="77777777" w:rsidR="005F5E7F" w:rsidRPr="005F5E7F" w:rsidRDefault="005F5E7F" w:rsidP="005F5E7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5F5E7F">
              <w:rPr>
                <w:rFonts w:eastAsia="Times New Roman" w:cs="Times New Roman"/>
                <w:color w:val="000000"/>
                <w:kern w:val="0"/>
                <w14:ligatures w14:val="none"/>
              </w:rPr>
              <w:t>X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FA4162" w14:textId="77777777" w:rsidR="005F5E7F" w:rsidRPr="005F5E7F" w:rsidRDefault="005F5E7F" w:rsidP="005F5E7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5F5E7F">
              <w:rPr>
                <w:rFonts w:eastAsia="Times New Roman" w:cs="Times New Roman"/>
                <w:color w:val="000000"/>
                <w:kern w:val="0"/>
                <w14:ligatures w14:val="none"/>
              </w:rPr>
              <w:t>X</w:t>
            </w:r>
          </w:p>
        </w:tc>
        <w:tc>
          <w:tcPr>
            <w:tcW w:w="19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AAFC7B" w14:textId="77777777" w:rsidR="005F5E7F" w:rsidRPr="005F5E7F" w:rsidRDefault="005F5E7F" w:rsidP="005F5E7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5F5E7F">
              <w:rPr>
                <w:rFonts w:eastAsia="Times New Roman" w:cs="Times New Roman"/>
                <w:color w:val="000000"/>
                <w:kern w:val="0"/>
                <w14:ligatures w14:val="none"/>
              </w:rPr>
              <w:t>X</w:t>
            </w:r>
          </w:p>
        </w:tc>
      </w:tr>
      <w:tr w:rsidR="005F5E7F" w:rsidRPr="005F5E7F" w14:paraId="731642C8" w14:textId="77777777" w:rsidTr="005F5E7F">
        <w:trPr>
          <w:trHeight w:val="312"/>
          <w:jc w:val="center"/>
        </w:trPr>
        <w:tc>
          <w:tcPr>
            <w:tcW w:w="3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DE85D3" w14:textId="77777777" w:rsidR="005F5E7F" w:rsidRPr="005F5E7F" w:rsidRDefault="005F5E7F" w:rsidP="005F5E7F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5F5E7F">
              <w:rPr>
                <w:rFonts w:eastAsia="Times New Roman" w:cs="Times New Roman"/>
                <w:color w:val="000000"/>
                <w:kern w:val="0"/>
                <w14:ligatures w14:val="none"/>
              </w:rPr>
              <w:t>Imbalance cost (</w:t>
            </w:r>
            <w:proofErr w:type="spellStart"/>
            <w:r w:rsidRPr="005F5E7F">
              <w:rPr>
                <w:rFonts w:eastAsia="Times New Roman" w:cs="Times New Roman"/>
                <w:color w:val="000000"/>
                <w:kern w:val="0"/>
                <w14:ligatures w14:val="none"/>
              </w:rPr>
              <w:t>KSh</w:t>
            </w:r>
            <w:proofErr w:type="spellEnd"/>
            <w:r w:rsidRPr="005F5E7F">
              <w:rPr>
                <w:rFonts w:eastAsia="Times New Roman" w:cs="Times New Roman"/>
                <w:color w:val="000000"/>
                <w:kern w:val="0"/>
                <w14:ligatures w14:val="none"/>
              </w:rPr>
              <w:t>)</w:t>
            </w:r>
          </w:p>
        </w:tc>
        <w:tc>
          <w:tcPr>
            <w:tcW w:w="16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C0D242" w14:textId="77777777" w:rsidR="005F5E7F" w:rsidRPr="005F5E7F" w:rsidRDefault="005F5E7F" w:rsidP="005F5E7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5F5E7F">
              <w:rPr>
                <w:rFonts w:eastAsia="Times New Roman" w:cs="Times New Roman"/>
                <w:color w:val="000000"/>
                <w:kern w:val="0"/>
                <w14:ligatures w14:val="none"/>
              </w:rPr>
              <w:t>X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4F0951" w14:textId="77777777" w:rsidR="005F5E7F" w:rsidRPr="005F5E7F" w:rsidRDefault="005F5E7F" w:rsidP="005F5E7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5F5E7F">
              <w:rPr>
                <w:rFonts w:eastAsia="Times New Roman" w:cs="Times New Roman"/>
                <w:color w:val="000000"/>
                <w:kern w:val="0"/>
                <w14:ligatures w14:val="none"/>
              </w:rPr>
              <w:t>X</w:t>
            </w:r>
          </w:p>
        </w:tc>
        <w:tc>
          <w:tcPr>
            <w:tcW w:w="19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252C02" w14:textId="77777777" w:rsidR="005F5E7F" w:rsidRPr="005F5E7F" w:rsidRDefault="005F5E7F" w:rsidP="005F5E7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5F5E7F">
              <w:rPr>
                <w:rFonts w:eastAsia="Times New Roman" w:cs="Times New Roman"/>
                <w:color w:val="000000"/>
                <w:kern w:val="0"/>
                <w14:ligatures w14:val="none"/>
              </w:rPr>
              <w:t>X</w:t>
            </w:r>
          </w:p>
        </w:tc>
      </w:tr>
      <w:tr w:rsidR="005F5E7F" w:rsidRPr="005F5E7F" w14:paraId="1F7BFA96" w14:textId="77777777" w:rsidTr="005F5E7F">
        <w:trPr>
          <w:trHeight w:val="312"/>
          <w:jc w:val="center"/>
        </w:trPr>
        <w:tc>
          <w:tcPr>
            <w:tcW w:w="3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0CEED0" w14:textId="77777777" w:rsidR="005F5E7F" w:rsidRPr="005F5E7F" w:rsidRDefault="005F5E7F" w:rsidP="005F5E7F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5F5E7F">
              <w:rPr>
                <w:rFonts w:eastAsia="Times New Roman" w:cs="Times New Roman"/>
                <w:color w:val="000000"/>
                <w:kern w:val="0"/>
                <w14:ligatures w14:val="none"/>
              </w:rPr>
              <w:t>Net economic outcome (</w:t>
            </w:r>
            <w:proofErr w:type="spellStart"/>
            <w:r w:rsidRPr="005F5E7F">
              <w:rPr>
                <w:rFonts w:eastAsia="Times New Roman" w:cs="Times New Roman"/>
                <w:color w:val="000000"/>
                <w:kern w:val="0"/>
                <w14:ligatures w14:val="none"/>
              </w:rPr>
              <w:t>KSh</w:t>
            </w:r>
            <w:proofErr w:type="spellEnd"/>
            <w:r w:rsidRPr="005F5E7F">
              <w:rPr>
                <w:rFonts w:eastAsia="Times New Roman" w:cs="Times New Roman"/>
                <w:color w:val="000000"/>
                <w:kern w:val="0"/>
                <w14:ligatures w14:val="none"/>
              </w:rPr>
              <w:t>)</w:t>
            </w:r>
          </w:p>
        </w:tc>
        <w:tc>
          <w:tcPr>
            <w:tcW w:w="16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327AA7" w14:textId="77777777" w:rsidR="005F5E7F" w:rsidRPr="005F5E7F" w:rsidRDefault="005F5E7F" w:rsidP="005F5E7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5F5E7F">
              <w:rPr>
                <w:rFonts w:eastAsia="Times New Roman" w:cs="Times New Roman"/>
                <w:color w:val="000000"/>
                <w:kern w:val="0"/>
                <w14:ligatures w14:val="none"/>
              </w:rPr>
              <w:t>X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983163" w14:textId="77777777" w:rsidR="005F5E7F" w:rsidRPr="005F5E7F" w:rsidRDefault="005F5E7F" w:rsidP="005F5E7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5F5E7F">
              <w:rPr>
                <w:rFonts w:eastAsia="Times New Roman" w:cs="Times New Roman"/>
                <w:color w:val="000000"/>
                <w:kern w:val="0"/>
                <w14:ligatures w14:val="none"/>
              </w:rPr>
              <w:t>X</w:t>
            </w:r>
          </w:p>
        </w:tc>
        <w:tc>
          <w:tcPr>
            <w:tcW w:w="19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AB58D7" w14:textId="77777777" w:rsidR="005F5E7F" w:rsidRPr="005F5E7F" w:rsidRDefault="005F5E7F" w:rsidP="005F5E7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5F5E7F">
              <w:rPr>
                <w:rFonts w:eastAsia="Times New Roman" w:cs="Times New Roman"/>
                <w:color w:val="000000"/>
                <w:kern w:val="0"/>
                <w14:ligatures w14:val="none"/>
              </w:rPr>
              <w:t>X</w:t>
            </w:r>
          </w:p>
        </w:tc>
      </w:tr>
    </w:tbl>
    <w:p w14:paraId="6B8C46AC" w14:textId="77777777" w:rsidR="005F5E7F" w:rsidRDefault="005F5E7F" w:rsidP="005F5E7F"/>
    <w:p w14:paraId="390E1754" w14:textId="77777777" w:rsidR="005F5E7F" w:rsidRPr="005F5E7F" w:rsidRDefault="005F5E7F" w:rsidP="005F5E7F">
      <w:r w:rsidRPr="005F5E7F">
        <w:rPr>
          <w:b/>
          <w:bCs/>
        </w:rPr>
        <w:t>Expected conclusion:</w:t>
      </w:r>
      <w:r w:rsidRPr="005F5E7F">
        <w:t xml:space="preserve"> The analysis should quantitatively demonstrate how the market energy commitment for the same 12:00–13:00 forecast changes as forecast uncertainty and the relative economic consequences of over- and under-commitment change.</w:t>
      </w:r>
    </w:p>
    <w:p w14:paraId="7E768501" w14:textId="77777777" w:rsidR="00B124A2" w:rsidRDefault="00B124A2"/>
    <w:sectPr w:rsidR="00B124A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5E7F"/>
    <w:rsid w:val="00100491"/>
    <w:rsid w:val="00183D64"/>
    <w:rsid w:val="002963E8"/>
    <w:rsid w:val="002A4F05"/>
    <w:rsid w:val="004004A6"/>
    <w:rsid w:val="0050523F"/>
    <w:rsid w:val="005F5E7F"/>
    <w:rsid w:val="0061142F"/>
    <w:rsid w:val="00700157"/>
    <w:rsid w:val="00767E49"/>
    <w:rsid w:val="007B68FF"/>
    <w:rsid w:val="007F7FA3"/>
    <w:rsid w:val="00867F25"/>
    <w:rsid w:val="00B01857"/>
    <w:rsid w:val="00B124A2"/>
    <w:rsid w:val="00BC44C5"/>
    <w:rsid w:val="00C9536C"/>
    <w:rsid w:val="00D41A58"/>
    <w:rsid w:val="00E01BAB"/>
    <w:rsid w:val="00EF46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8CE8AC"/>
  <w15:chartTrackingRefBased/>
  <w15:docId w15:val="{E020CC67-ACFF-4D44-8C6A-488E0F2B27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124A2"/>
    <w:pPr>
      <w:spacing w:line="480" w:lineRule="auto"/>
      <w:jc w:val="both"/>
    </w:pPr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5F5E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5E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5E7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5E7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5E7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5E7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5E7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5E7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5E7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5E7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5E7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5E7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5E7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5E7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5E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5E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5E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5E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5E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5E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5E7F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5E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5E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5E7F"/>
    <w:rPr>
      <w:rFonts w:ascii="Times New Roman" w:hAnsi="Times New Roman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5E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5E7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5E7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5E7F"/>
    <w:rPr>
      <w:rFonts w:ascii="Times New Roman" w:hAnsi="Times New Roman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5E7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512</Words>
  <Characters>2921</Characters>
  <Application>Microsoft Office Word</Application>
  <DocSecurity>0</DocSecurity>
  <Lines>24</Lines>
  <Paragraphs>6</Paragraphs>
  <ScaleCrop>false</ScaleCrop>
  <Company/>
  <LinksUpToDate>false</LinksUpToDate>
  <CharactersWithSpaces>3427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Dennis  Lubanga</dc:creator>
  <cp:keywords/>
  <dc:description/>
  <cp:lastModifiedBy>Dennis  Lubanga</cp:lastModifiedBy>
  <cp:revision>1</cp:revision>
  <dcterms:created xsi:type="dcterms:W3CDTF">2026-09-21T10:39:00Z</dcterms:created>
  <dcterms:modified xsi:type="dcterms:W3CDTF">2026-09-21T10:49:00Z</dcterms:modified>
</cp:coreProperties>
</file>