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IdentityDNA</w:t>
      </w:r>
      <w:r>
        <w:t xml:space="preserve"> </w:t>
      </w:r>
      <w:r>
        <w:t xml:space="preserve">Protocol:</w:t>
      </w:r>
      <w:r>
        <w:t xml:space="preserve"> </w:t>
      </w:r>
      <w:r>
        <w:t xml:space="preserve">A</w:t>
      </w:r>
      <w:r>
        <w:t xml:space="preserve"> </w:t>
      </w:r>
      <w:r>
        <w:t xml:space="preserve">Continuously-Verified,</w:t>
      </w:r>
      <w:r>
        <w:t xml:space="preserve"> </w:t>
      </w:r>
      <w:r>
        <w:t xml:space="preserve">Privacy-Preserving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Trust</w:t>
      </w:r>
      <w:r>
        <w:t xml:space="preserve"> </w:t>
      </w:r>
      <w:r>
        <w:t xml:space="preserve">Framework</w:t>
      </w:r>
    </w:p>
    <w:p>
      <w:pPr>
        <w:pStyle w:val="Subtitle"/>
      </w:pPr>
      <w:r>
        <w:t xml:space="preserve">Reference</w:t>
      </w:r>
      <w:r>
        <w:t xml:space="preserve"> </w:t>
      </w:r>
      <w:r>
        <w:t xml:space="preserve">Specification,</w:t>
      </w:r>
      <w:r>
        <w:t xml:space="preserve"> </w:t>
      </w:r>
      <w:r>
        <w:t xml:space="preserve">Formal</w:t>
      </w:r>
      <w:r>
        <w:t xml:space="preserve"> </w:t>
      </w:r>
      <w:r>
        <w:t xml:space="preserve">Model,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</w:t>
      </w:r>
      <w:r>
        <w:t xml:space="preserve"> </w:t>
      </w:r>
      <w:r>
        <w:t xml:space="preserve">Validation</w:t>
      </w:r>
      <w:r>
        <w:t xml:space="preserve"> </w:t>
      </w:r>
      <w:r>
        <w:t xml:space="preserve">—</w:t>
      </w:r>
      <w:r>
        <w:t xml:space="preserve"> </w:t>
      </w:r>
      <w:r>
        <w:t xml:space="preserve">v1.0.0-draft</w:t>
      </w:r>
    </w:p>
    <w:p>
      <w:pPr>
        <w:pStyle w:val="Author"/>
      </w:pPr>
      <w:r>
        <w:t xml:space="preserve">IdentityDNA</w:t>
      </w:r>
      <w:r>
        <w:t xml:space="preserve"> </w:t>
      </w:r>
      <w:r>
        <w:t xml:space="preserve">Protocol</w:t>
      </w:r>
      <w:r>
        <w:t xml:space="preserve"> </w:t>
      </w:r>
      <w:r>
        <w:t xml:space="preserve">Working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Most authentication protocols in wide deployment today — TLS client</w:t>
      </w:r>
      <w:r>
        <w:t xml:space="preserve"> </w:t>
      </w:r>
      <w:r>
        <w:t xml:space="preserve">certificates, OAuth 2.0 bearer tokens, WebAuthn/FIDO2 assertions — make</w:t>
      </w:r>
      <w:r>
        <w:t xml:space="preserve"> </w:t>
      </w:r>
      <w:r>
        <w:t xml:space="preserve">a single binary trust decision at login time and then treat the</w:t>
      </w:r>
      <w:r>
        <w:t xml:space="preserve"> </w:t>
      </w:r>
      <w:r>
        <w:t xml:space="preserve">resulting session as fully trusted until it expires or is explicitly</w:t>
      </w:r>
      <w:r>
        <w:t xml:space="preserve"> </w:t>
      </w:r>
      <w:r>
        <w:t xml:space="preserve">revoked. This</w:t>
      </w:r>
      <w:r>
        <w:t xml:space="preserve"> </w:t>
      </w:r>
      <w:r>
        <w:t xml:space="preserve">“</w:t>
      </w:r>
      <w:r>
        <w:t xml:space="preserve">authenticate once, trust fully</w:t>
      </w:r>
      <w:r>
        <w:t xml:space="preserve">”</w:t>
      </w:r>
      <w:r>
        <w:t xml:space="preserve"> </w:t>
      </w:r>
      <w:r>
        <w:t xml:space="preserve">model is a poor fit for</w:t>
      </w:r>
      <w:r>
        <w:t xml:space="preserve"> </w:t>
      </w:r>
      <w:r>
        <w:t xml:space="preserve">the threat landscape of session hijacking, credential replay, and</w:t>
      </w:r>
      <w:r>
        <w:t xml:space="preserve"> </w:t>
      </w:r>
      <w:r>
        <w:t xml:space="preserve">device compromise that occurs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a legitimate login. IdentityDNA</w:t>
      </w:r>
      <w:r>
        <w:t xml:space="preserve"> </w:t>
      </w:r>
      <w:r>
        <w:t xml:space="preserve">Protocol (IDP) proposes an alternative: a session-oriented identity</w:t>
      </w:r>
      <w:r>
        <w:t xml:space="preserve"> </w:t>
      </w:r>
      <w:r>
        <w:t xml:space="preserve">framework in which a numeric</w:t>
      </w:r>
      <w:r>
        <w:t xml:space="preserve"> </w:t>
      </w:r>
      <w:r>
        <w:rPr>
          <w:bCs/>
          <w:b/>
        </w:rPr>
        <w:t xml:space="preserve">Trust Score</w:t>
      </w:r>
      <w:r>
        <w:t xml:space="preserve">, derived from a</w:t>
      </w:r>
      <w:r>
        <w:t xml:space="preserve"> </w:t>
      </w:r>
      <w:r>
        <w:t xml:space="preserve">continuously-refreshed</w:t>
      </w:r>
      <w:r>
        <w:t xml:space="preserve"> </w:t>
      </w:r>
      <w:r>
        <w:rPr>
          <w:bCs/>
          <w:b/>
        </w:rPr>
        <w:t xml:space="preserve">Identity Vector</w:t>
      </w:r>
      <w:r>
        <w:t xml:space="preserve">, a decaying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term, contextual priors, and an explicit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term, governs access</w:t>
      </w:r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duration</w:t>
      </w:r>
      <w:r>
        <w:t xml:space="preserve"> </w:t>
      </w:r>
      <w:r>
        <w:t xml:space="preserve">of a session rather than only at its inception.</w:t>
      </w:r>
    </w:p>
    <w:p>
      <w:pPr>
        <w:pStyle w:val="BodyText"/>
      </w:pPr>
      <w:r>
        <w:t xml:space="preserve">This paper presents RFC-0001, the normative specification of IDP;</w:t>
      </w:r>
      <w:r>
        <w:t xml:space="preserve"> </w:t>
      </w:r>
      <w:r>
        <w:t xml:space="preserve">a formal mathematical model of the Trust Score function with a worked</w:t>
      </w:r>
      <w:r>
        <w:t xml:space="preserve"> </w:t>
      </w:r>
      <w:r>
        <w:t xml:space="preserve">derivation; a reference implementation in Python (with a second,</w:t>
      </w:r>
      <w:r>
        <w:t xml:space="preserve"> </w:t>
      </w:r>
      <w:r>
        <w:t xml:space="preserve">independently-verified TypeScript implementation); and — in the</w:t>
      </w:r>
      <w:r>
        <w:t xml:space="preserve"> </w:t>
      </w:r>
      <w:r>
        <w:t xml:space="preserve">interest of engineering honesty rare in whitepapers of this kind — a</w:t>
      </w:r>
      <w:r>
        <w:t xml:space="preserve"> </w:t>
      </w:r>
      <w:r>
        <w:t xml:space="preserve">documented account of the real defects our own formal model and</w:t>
      </w:r>
      <w:r>
        <w:t xml:space="preserve"> </w:t>
      </w:r>
      <w:r>
        <w:t xml:space="preserve">reference code contained, how property-based testing and</w:t>
      </w:r>
      <w:r>
        <w:t xml:space="preserve"> </w:t>
      </w:r>
      <w:r>
        <w:t xml:space="preserve">cross-language interoperability testing found them, and how they were</w:t>
      </w:r>
      <w:r>
        <w:t xml:space="preserve"> </w:t>
      </w:r>
      <w:r>
        <w:t xml:space="preserve">fixed. We report concrete performance figures from the reference</w:t>
      </w:r>
      <w:r>
        <w:t xml:space="preserve"> </w:t>
      </w:r>
      <w:r>
        <w:t xml:space="preserve">implementation (573K hash operations/sec, 36.5K Ed25519</w:t>
      </w:r>
      <w:r>
        <w:t xml:space="preserve"> </w:t>
      </w:r>
      <w:r>
        <w:t xml:space="preserve">signatures/sec, 351 full end-to-end handshakes/sec including SQLite</w:t>
      </w:r>
      <w:r>
        <w:t xml:space="preserve"> </w:t>
      </w:r>
      <w:r>
        <w:t xml:space="preserve">persistence, all single-threaded on commodity hardware) and an</w:t>
      </w:r>
      <w:r>
        <w:t xml:space="preserve"> </w:t>
      </w:r>
      <w:r>
        <w:t xml:space="preserve">explicit, unpadded list of what remains unimplemented. This is a</w:t>
      </w:r>
      <w:r>
        <w:t xml:space="preserve"> </w:t>
      </w:r>
      <w:r>
        <w:t xml:space="preserve">draft protocol proposal and a research-grade reference implementation,</w:t>
      </w:r>
      <w:r>
        <w:t xml:space="preserve"> </w:t>
      </w:r>
      <w:r>
        <w:t xml:space="preserve">not a production-hardened system nor an adopted standard; we are</w:t>
      </w:r>
      <w:r>
        <w:t xml:space="preserve"> </w:t>
      </w:r>
      <w:r>
        <w:t xml:space="preserve">explicit throughout about that distinction.</w:t>
      </w:r>
    </w:p>
    <w:bookmarkEnd w:id="20"/>
    <w:bookmarkStart w:id="24" w:name="introduction-and-motivation"/>
    <w:p>
      <w:pPr>
        <w:pStyle w:val="Heading1"/>
      </w:pPr>
      <w:r>
        <w:t xml:space="preserve">1. Introduction and Motivation</w:t>
      </w:r>
    </w:p>
    <w:bookmarkStart w:id="21" w:name="the-problem-with-authenticate-once"/>
    <w:p>
      <w:pPr>
        <w:pStyle w:val="Heading2"/>
      </w:pPr>
      <w:r>
        <w:t xml:space="preserve">1.1 The problem with</w:t>
      </w:r>
      <w:r>
        <w:t xml:space="preserve"> </w:t>
      </w:r>
      <w:r>
        <w:t xml:space="preserve">“</w:t>
      </w:r>
      <w:r>
        <w:t xml:space="preserve">authenticate once</w:t>
      </w:r>
      <w:r>
        <w:t xml:space="preserve">”</w:t>
      </w:r>
    </w:p>
    <w:p>
      <w:pPr>
        <w:pStyle w:val="FirstParagraph"/>
      </w:pPr>
      <w:r>
        <w:t xml:space="preserve">The dominant authentication pattern on the web today separates</w:t>
      </w:r>
      <w:r>
        <w:t xml:space="preserve"> </w:t>
      </w:r>
      <w:r>
        <w:rPr>
          <w:iCs/>
          <w:i/>
        </w:rPr>
        <w:t xml:space="preserve">authentication</w:t>
      </w:r>
      <w:r>
        <w:t xml:space="preserve"> </w:t>
      </w:r>
      <w:r>
        <w:t xml:space="preserve">(proving identity, once, at login) from</w:t>
      </w:r>
      <w:r>
        <w:t xml:space="preserve"> </w:t>
      </w:r>
      <w:r>
        <w:rPr>
          <w:iCs/>
          <w:i/>
        </w:rPr>
        <w:t xml:space="preserve">authorization</w:t>
      </w:r>
      <w:r>
        <w:t xml:space="preserve"> </w:t>
      </w:r>
      <w:r>
        <w:t xml:space="preserve">(checking permissions, per request, against a</w:t>
      </w:r>
      <w:r>
        <w:t xml:space="preserve"> </w:t>
      </w:r>
      <w:r>
        <w:t xml:space="preserve">session token that is treated as a fixed credential until it expires).</w:t>
      </w:r>
      <w:r>
        <w:t xml:space="preserve"> </w:t>
      </w:r>
      <w:r>
        <w:t xml:space="preserve">This separation is efficient and has served the industry well, but it</w:t>
      </w:r>
      <w:r>
        <w:t xml:space="preserve"> </w:t>
      </w:r>
      <w:r>
        <w:t xml:space="preserve">has a structural weakness: once a session token is issued, the</w:t>
      </w:r>
      <w:r>
        <w:t xml:space="preserve"> </w:t>
      </w:r>
      <w:r>
        <w:t xml:space="preserve">protocol has no further opinion about whether the entity presenting</w:t>
      </w:r>
      <w:r>
        <w:t xml:space="preserve"> </w:t>
      </w:r>
      <w:r>
        <w:t xml:space="preserve">that token on request number 4,000 is still the same entity that</w:t>
      </w:r>
      <w:r>
        <w:t xml:space="preserve"> </w:t>
      </w:r>
      <w:r>
        <w:t xml:space="preserve">authenticated at request number 1. A stolen session cookie, a hijacked</w:t>
      </w:r>
      <w:r>
        <w:t xml:space="preserve"> </w:t>
      </w:r>
      <w:r>
        <w:t xml:space="preserve">OAuth bearer token, or a device that changes hands mid-session are all</w:t>
      </w:r>
      <w:r>
        <w:t xml:space="preserve"> </w:t>
      </w:r>
      <w:r>
        <w:t xml:space="preserve">indistinguishable from the legitimate user, from the protocol’s point</w:t>
      </w:r>
      <w:r>
        <w:t xml:space="preserve"> </w:t>
      </w:r>
      <w:r>
        <w:t xml:space="preserve">of view, because the protocol simply is not looking anymore after the</w:t>
      </w:r>
      <w:r>
        <w:t xml:space="preserve"> </w:t>
      </w:r>
      <w:r>
        <w:t xml:space="preserve">initial handshake.</w:t>
      </w:r>
    </w:p>
    <w:p>
      <w:pPr>
        <w:pStyle w:val="BodyText"/>
      </w:pPr>
      <w:r>
        <w:t xml:space="preserve">Continuous authentication — periodically re-evaluating trust using</w:t>
      </w:r>
      <w:r>
        <w:t xml:space="preserve"> </w:t>
      </w:r>
      <w:r>
        <w:t xml:space="preserve">lightweight signals rather than requiring the user to re-authenticate</w:t>
      </w:r>
      <w:r>
        <w:t xml:space="preserve"> </w:t>
      </w:r>
      <w:r>
        <w:t xml:space="preserve">— is not a new idea; it has substantial prior art in the mobile</w:t>
      </w:r>
      <w:r>
        <w:t xml:space="preserve"> </w:t>
      </w:r>
      <w:r>
        <w:t xml:space="preserve">biometrics and enterprise Zero Trust Architecture (ZTA) literature</w:t>
      </w:r>
      <w:r>
        <w:t xml:space="preserve"> </w:t>
      </w:r>
      <w:r>
        <w:t xml:space="preserve">[NIST-800-207]. What IDP contributes is not the idea of continuous</w:t>
      </w:r>
      <w:r>
        <w:t xml:space="preserve"> </w:t>
      </w:r>
      <w:r>
        <w:t xml:space="preserve">verification itself, but: (a) a concrete, implementable wire protocol</w:t>
      </w:r>
      <w:r>
        <w:t xml:space="preserve"> </w:t>
      </w:r>
      <w:r>
        <w:t xml:space="preserve">for it, defined with the same rigor (message formats, state machine,</w:t>
      </w:r>
      <w:r>
        <w:t xml:space="preserve"> </w:t>
      </w:r>
      <w:r>
        <w:t xml:space="preserve">error registry) as TLS or OAuth; (b) a formal, unit-tested mathematical</w:t>
      </w:r>
      <w:r>
        <w:t xml:space="preserve"> </w:t>
      </w:r>
      <w:r>
        <w:t xml:space="preserve">model for how the trust decision is actually computed, rather than</w:t>
      </w:r>
      <w:r>
        <w:t xml:space="preserve"> </w:t>
      </w:r>
      <w:r>
        <w:t xml:space="preserve">leaving</w:t>
      </w:r>
      <w:r>
        <w:t xml:space="preserve"> </w:t>
      </w:r>
      <w:r>
        <w:t xml:space="preserve">“</w:t>
      </w:r>
      <w:r>
        <w:t xml:space="preserve">risk scoring</w:t>
      </w:r>
      <w:r>
        <w:t xml:space="preserve">”</w:t>
      </w:r>
      <w:r>
        <w:t xml:space="preserve"> </w:t>
      </w:r>
      <w:r>
        <w:t xml:space="preserve">as an unspecified implementation detail as most</w:t>
      </w:r>
      <w:r>
        <w:t xml:space="preserve"> </w:t>
      </w:r>
      <w:r>
        <w:t xml:space="preserve">Zero Trust literature does; and (c) privacy-by-design constraints on</w:t>
      </w:r>
      <w:r>
        <w:t xml:space="preserve"> </w:t>
      </w:r>
      <w:r>
        <w:t xml:space="preserve">the device-fingerprinting signals such a system is tempted to collect,</w:t>
      </w:r>
      <w:r>
        <w:t xml:space="preserve"> </w:t>
      </w:r>
      <w:r>
        <w:t xml:space="preserve">specified normatively rather than left to implementer discretion.</w:t>
      </w:r>
    </w:p>
    <w:bookmarkEnd w:id="21"/>
    <w:bookmarkStart w:id="22" w:name="design-goals"/>
    <w:p>
      <w:pPr>
        <w:pStyle w:val="Heading2"/>
      </w:pPr>
      <w:r>
        <w:t xml:space="preserve">1.2 Design goals</w:t>
      </w:r>
    </w:p>
    <w:p>
      <w:pPr>
        <w:pStyle w:val="FirstParagraph"/>
      </w:pPr>
      <w:r>
        <w:t xml:space="preserve">IDP is designed against five explicit goals, in priority order: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Session-duration trust, not point-in-time trust.</w:t>
      </w:r>
      <w:r>
        <w:t xml:space="preserve"> </w:t>
      </w:r>
      <w:r>
        <w:t xml:space="preserve">The protocol’s</w:t>
      </w:r>
      <w:r>
        <w:t xml:space="preserve"> </w:t>
      </w:r>
      <w:r>
        <w:t xml:space="preserve">central data structure, the Trust Score, is recomputed periodically</w:t>
      </w:r>
      <w:r>
        <w:t xml:space="preserve"> </w:t>
      </w:r>
      <w:r>
        <w:t xml:space="preserve">for the life of a session, not just once at login.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Privacy-by-design device signals.</w:t>
      </w:r>
      <w:r>
        <w:t xml:space="preserve"> </w:t>
      </w:r>
      <w:r>
        <w:t xml:space="preserve">Any device/behavioral/</w:t>
      </w:r>
      <w:r>
        <w:t xml:space="preserve"> </w:t>
      </w:r>
      <w:r>
        <w:t xml:space="preserve">contextual signal used as input MUST be disclosed, consented to,</w:t>
      </w:r>
      <w:r>
        <w:t xml:space="preserve"> </w:t>
      </w:r>
      <w:r>
        <w:t xml:space="preserve">and irreversibly hashed before it leaves the client’s control; raw</w:t>
      </w:r>
      <w:r>
        <w:t xml:space="preserve"> </w:t>
      </w:r>
      <w:r>
        <w:t xml:space="preserve">signals are never retained server-side by default (§6, §8).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novel cryptography.</w:t>
      </w:r>
      <w:r>
        <w:t xml:space="preserve"> </w:t>
      </w:r>
      <w:r>
        <w:t xml:space="preserve">All cryptographic primitives are</w:t>
      </w:r>
      <w:r>
        <w:t xml:space="preserve"> </w:t>
      </w:r>
      <w:r>
        <w:t xml:space="preserve">externally audited, standard constructions (Ed25519, X25519, BLAKE3,</w:t>
      </w:r>
      <w:r>
        <w:t xml:space="preserve"> </w:t>
      </w:r>
      <w:r>
        <w:t xml:space="preserve">HKDF, Argon2id, ChaCha20-Poly1305). Protocol originality is confined</w:t>
      </w:r>
      <w:r>
        <w:t xml:space="preserve"> </w:t>
      </w:r>
      <w:r>
        <w:t xml:space="preserve">to composition and the trust-scoring model, never to primitive</w:t>
      </w:r>
      <w:r>
        <w:t xml:space="preserve"> </w:t>
      </w:r>
      <w:r>
        <w:t xml:space="preserve">design (§7).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Formal, falsifiable trust model.</w:t>
      </w:r>
      <w:r>
        <w:t xml:space="preserve"> </w:t>
      </w:r>
      <w:r>
        <w:t xml:space="preserve">Every term in the Trust Score</w:t>
      </w:r>
      <w:r>
        <w:t xml:space="preserve"> </w:t>
      </w:r>
      <w:r>
        <w:t xml:space="preserve">function is a named, numerically-defined quantity with documented</w:t>
      </w:r>
      <w:r>
        <w:t xml:space="preserve"> </w:t>
      </w:r>
      <w:r>
        <w:t xml:space="preserve">bounds — not a black-box machine learning model or an unspecified</w:t>
      </w:r>
      <w:r>
        <w:t xml:space="preserve"> </w:t>
      </w:r>
      <w:r>
        <w:t xml:space="preserve">“</w:t>
      </w:r>
      <w:r>
        <w:t xml:space="preserve">risk engine.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Implementability and interoperability as first-class evidence.</w:t>
      </w:r>
      <w:r>
        <w:t xml:space="preserve"> </w:t>
      </w:r>
      <w:r>
        <w:t xml:space="preserve">A specification nobody can implement identically twice is not a</w:t>
      </w:r>
      <w:r>
        <w:t xml:space="preserve"> </w:t>
      </w:r>
      <w:r>
        <w:t xml:space="preserve">specification. §9 of this paper reports on an independent</w:t>
      </w:r>
      <w:r>
        <w:t xml:space="preserve"> </w:t>
      </w:r>
      <w:r>
        <w:t xml:space="preserve">second-language (TypeScript) implementation and the byte-for-byte</w:t>
      </w:r>
      <w:r>
        <w:t xml:space="preserve"> </w:t>
      </w:r>
      <w:r>
        <w:t xml:space="preserve">interoperability testing between it and the Python reference.</w:t>
      </w:r>
    </w:p>
    <w:bookmarkEnd w:id="22"/>
    <w:bookmarkStart w:id="23" w:name="contributions-and-scope-of-this-paper"/>
    <w:p>
      <w:pPr>
        <w:pStyle w:val="Heading2"/>
      </w:pPr>
      <w:r>
        <w:t xml:space="preserve">1.3 Contributions and scope of this paper</w:t>
      </w:r>
    </w:p>
    <w:p>
      <w:pPr>
        <w:pStyle w:val="FirstParagraph"/>
      </w:pPr>
      <w:r>
        <w:t xml:space="preserve">This paper’s contributions are: the RFC-0001 normative specification</w:t>
      </w:r>
      <w:r>
        <w:t xml:space="preserve"> </w:t>
      </w:r>
      <w:r>
        <w:t xml:space="preserve">(§3); a formal mathematical model of the Identity Vector and Trust</w:t>
      </w:r>
      <w:r>
        <w:t xml:space="preserve"> </w:t>
      </w:r>
      <w:r>
        <w:t xml:space="preserve">Score functions with a worked numeric example (§4); a documented</w:t>
      </w:r>
      <w:r>
        <w:t xml:space="preserve"> </w:t>
      </w:r>
      <w:r>
        <w:t xml:space="preserve">account of two real defects found in that model and its first</w:t>
      </w:r>
      <w:r>
        <w:t xml:space="preserve"> </w:t>
      </w:r>
      <w:r>
        <w:t xml:space="preserve">implementation via property-based fuzz testing, including a</w:t>
      </w:r>
      <w:r>
        <w:t xml:space="preserve"> </w:t>
      </w:r>
      <w:r>
        <w:t xml:space="preserve">remote-DoS-class bug (§8); a report on cross-language interoperability</w:t>
      </w:r>
      <w:r>
        <w:t xml:space="preserve"> </w:t>
      </w:r>
      <w:r>
        <w:t xml:space="preserve">testing between independently-written Python and TypeScript</w:t>
      </w:r>
      <w:r>
        <w:t xml:space="preserve"> </w:t>
      </w:r>
      <w:r>
        <w:t xml:space="preserve">implementations, including two further defects that testing caught</w:t>
      </w:r>
      <w:r>
        <w:t xml:space="preserve"> </w:t>
      </w:r>
      <w:r>
        <w:t xml:space="preserve">before either was ever deployed (§9); a threat model with explicitly</w:t>
      </w:r>
      <w:r>
        <w:t xml:space="preserve"> </w:t>
      </w:r>
      <w:r>
        <w:t xml:space="preserve">acknowledged residual risks rather than a checklist of only-solved</w:t>
      </w:r>
      <w:r>
        <w:t xml:space="preserve"> </w:t>
      </w:r>
      <w:r>
        <w:t xml:space="preserve">problems (§10); and measured performance figures from the reference</w:t>
      </w:r>
      <w:r>
        <w:t xml:space="preserve"> </w:t>
      </w:r>
      <w:r>
        <w:t xml:space="preserve">implementation (§11).</w:t>
      </w:r>
    </w:p>
    <w:p>
      <w:pPr>
        <w:pStyle w:val="BodyText"/>
      </w:pPr>
      <w:r>
        <w:t xml:space="preserve">This paper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 IDP is an adopted or standardized</w:t>
      </w:r>
      <w:r>
        <w:t xml:space="preserve"> </w:t>
      </w:r>
      <w:r>
        <w:t xml:space="preserve">protocol, does not claim the reference implementation is</w:t>
      </w:r>
      <w:r>
        <w:t xml:space="preserve"> </w:t>
      </w:r>
      <w:r>
        <w:t xml:space="preserve">production-hardened, and does not claim novelty in the general concept</w:t>
      </w:r>
      <w:r>
        <w:t xml:space="preserve"> </w:t>
      </w:r>
      <w:r>
        <w:t xml:space="preserve">of continuous authentication, which has a substantial prior literature</w:t>
      </w:r>
      <w:r>
        <w:t xml:space="preserve"> </w:t>
      </w:r>
      <w:r>
        <w:t xml:space="preserve">under the Zero Trust and continuous/adaptive authentication headings</w:t>
      </w:r>
      <w:r>
        <w:t xml:space="preserve"> </w:t>
      </w:r>
      <w:r>
        <w:t xml:space="preserve">[Kolter2005; NIST-800-207]. What is offered is a complete, concrete,</w:t>
      </w:r>
      <w:r>
        <w:t xml:space="preserve"> </w:t>
      </w:r>
      <w:r>
        <w:t xml:space="preserve">implementable, and independently-validated specification and reference</w:t>
      </w:r>
      <w:r>
        <w:t xml:space="preserve"> </w:t>
      </w:r>
      <w:r>
        <w:t xml:space="preserve">implementation — the artifact class this literature has historically</w:t>
      </w:r>
      <w:r>
        <w:t xml:space="preserve"> </w:t>
      </w:r>
      <w:r>
        <w:t xml:space="preserve">been light on.</w:t>
      </w:r>
    </w:p>
    <w:bookmarkEnd w:id="23"/>
    <w:bookmarkEnd w:id="24"/>
    <w:bookmarkStart w:id="25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t xml:space="preserve">Table 1 summarizes how IDP’s design goals compare against three</w:t>
      </w:r>
      <w:r>
        <w:t xml:space="preserve"> </w:t>
      </w:r>
      <w:r>
        <w:t xml:space="preserve">protocols in wide production deployment. This is a design comparison,</w:t>
      </w:r>
      <w:r>
        <w:t xml:space="preserve"> </w:t>
      </w:r>
      <w:r>
        <w:t xml:space="preserve">not a claim of superiority — each protocol solves a somewhat different</w:t>
      </w:r>
      <w:r>
        <w:t xml:space="preserve"> </w:t>
      </w:r>
      <w:r>
        <w:t xml:space="preserve">problem, and IDP is explicitly</w:t>
      </w:r>
      <w:r>
        <w:t xml:space="preserve"> </w:t>
      </w:r>
      <w:r>
        <w:rPr>
          <w:iCs/>
          <w:i/>
        </w:rPr>
        <w:t xml:space="preserve">composable with</w:t>
      </w:r>
      <w:r>
        <w:t xml:space="preserve">, not a replacement</w:t>
      </w:r>
      <w:r>
        <w:t xml:space="preserve"> </w:t>
      </w:r>
      <w:r>
        <w:t xml:space="preserve">for, TLS.</w:t>
      </w:r>
    </w:p>
    <w:p>
      <w:pPr>
        <w:pStyle w:val="BodyText"/>
      </w:pPr>
      <w:r>
        <w:rPr>
          <w:bCs/>
          <w:b/>
        </w:rPr>
        <w:t xml:space="preserve">Table 1: Design comparison with deployed protocols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[RFC8446]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[RFC6749]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FIDO2/WebAuthn [W3C-WebAuthn]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IDP (this 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confidentiality &amp; server/client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Passwordless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Session-duration identity &amp;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re-evaluated post-handshake?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(session resumption reuses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(bearer token trusted until expiry/revocation)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(single assertion at 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periodic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signal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(out of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(out of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Authenticator attestation (opt-in)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Normatively privacy-constrained 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trust/risk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(binary: valid cert or not)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(binary: valid token or not)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(binary: valid assertion or not)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[0,100]</w:t>
            </w:r>
            <w:r>
              <w:t xml:space="preserve"> </w:t>
            </w:r>
            <w:r>
              <w:t xml:space="preserve">Trust Score, formally defined (§4)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 secrecy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(ephemeral ECDHE)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(delegated to 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(delegated to 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(ephemeral X25519 per session, 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key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resumption/rekey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native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native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Mandatory, ≤300s default (§3.4)</w:t>
            </w:r>
          </w:p>
        </w:tc>
      </w:tr>
    </w:tbl>
    <w:p>
      <w:pPr>
        <w:pStyle w:val="BodyText"/>
      </w:pPr>
      <w:r>
        <w:t xml:space="preserve">IDP’s relationship to these protocols is layered, not competitive: IDP</w:t>
      </w:r>
      <w:r>
        <w:t xml:space="preserve"> </w:t>
      </w:r>
      <w:r>
        <w:t xml:space="preserve">assumes TLS 1.3 for transport confidentiality (RFC-0001 §1 makes this</w:t>
      </w:r>
      <w:r>
        <w:t xml:space="preserve"> </w:t>
      </w:r>
      <w:r>
        <w:t xml:space="preserve">a MUST), and could reasonably sit alongside OAuth 2.0 as an additional,</w:t>
      </w:r>
      <w:r>
        <w:t xml:space="preserve"> </w:t>
      </w:r>
      <w:r>
        <w:t xml:space="preserve">continuously-reevaluated trust signal feeding into an authorization</w:t>
      </w:r>
      <w:r>
        <w:t xml:space="preserve"> </w:t>
      </w:r>
      <w:r>
        <w:t xml:space="preserve">decision, or alongside FIDO2 as the mechanism governing what happens</w:t>
      </w:r>
      <w:r>
        <w:t xml:space="preserve"> </w:t>
      </w:r>
      <w:r>
        <w:t xml:space="preserve">to a session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a FIDO2 assertion, not as a replacement for the</w:t>
      </w:r>
      <w:r>
        <w:t xml:space="preserve"> </w:t>
      </w:r>
      <w:r>
        <w:t xml:space="preserve">assertion itself. The Zero Trust Architecture literature</w:t>
      </w:r>
      <w:r>
        <w:t xml:space="preserve"> </w:t>
      </w:r>
      <w:r>
        <w:t xml:space="preserve">[NIST-800-207] describes the conceptual need IDP’s protocol layer</w:t>
      </w:r>
      <w:r>
        <w:t xml:space="preserve"> </w:t>
      </w:r>
      <w:r>
        <w:t xml:space="preserve">attempts to fill concretely.</w:t>
      </w:r>
    </w:p>
    <w:bookmarkEnd w:id="25"/>
    <w:bookmarkStart w:id="30" w:name="protocol-overview"/>
    <w:p>
      <w:pPr>
        <w:pStyle w:val="Heading1"/>
      </w:pPr>
      <w:r>
        <w:t xml:space="preserve">3. Protocol Overview</w:t>
      </w:r>
    </w:p>
    <w:p>
      <w:pPr>
        <w:pStyle w:val="FirstParagraph"/>
      </w:pPr>
      <w:r>
        <w:t xml:space="preserve">This section summarizes RFC-0001; the full normative text (message</w:t>
      </w:r>
      <w:r>
        <w:t xml:space="preserve"> </w:t>
      </w:r>
      <w:r>
        <w:t xml:space="preserve">schemas, error codes, state machine) is available in the reference</w:t>
      </w:r>
      <w:r>
        <w:t xml:space="preserve"> </w:t>
      </w:r>
      <w:r>
        <w:t xml:space="preserve">implementation’s repository at</w:t>
      </w:r>
      <w:r>
        <w:t xml:space="preserve"> </w:t>
      </w:r>
      <w:r>
        <w:rPr>
          <w:rStyle w:val="VerbatimChar"/>
        </w:rPr>
        <w:t xml:space="preserve">docs/protocol/RFC-0001-IdentityDNA-Protocol.md</w:t>
      </w:r>
      <w:r>
        <w:t xml:space="preserve"> </w:t>
      </w:r>
      <w:r>
        <w:t xml:space="preserve">and is not reproduced in full here, following academic convention for</w:t>
      </w:r>
      <w:r>
        <w:t xml:space="preserve"> </w:t>
      </w:r>
      <w:r>
        <w:t xml:space="preserve">referencing an accompanying specification document.</w:t>
      </w:r>
    </w:p>
    <w:bookmarkStart w:id="26" w:name="message-flow"/>
    <w:p>
      <w:pPr>
        <w:pStyle w:val="Heading2"/>
      </w:pPr>
      <w:r>
        <w:t xml:space="preserve">3.1 Message flow</w:t>
      </w:r>
    </w:p>
    <w:p>
      <w:pPr>
        <w:pStyle w:val="FirstParagraph"/>
      </w:pPr>
      <w:r>
        <w:t xml:space="preserve">IDP defines nine message types (Figure 1) exchanged in a fixed</w:t>
      </w:r>
      <w:r>
        <w:t xml:space="preserve"> </w:t>
      </w:r>
      <w:r>
        <w:t xml:space="preserve">handshake order, followed by a periodic verification loop for the</w:t>
      </w:r>
      <w:r>
        <w:t xml:space="preserve"> </w:t>
      </w:r>
      <w:r>
        <w:t xml:space="preserve">duration of the session:</w:t>
      </w:r>
    </w:p>
    <w:p>
      <w:pPr>
        <w:pStyle w:val="SourceCode"/>
      </w:pPr>
      <w:r>
        <w:rPr>
          <w:rStyle w:val="VerbatimChar"/>
        </w:rPr>
        <w:t xml:space="preserve">Client                                   Server</w:t>
      </w:r>
      <w:r>
        <w:br/>
      </w:r>
      <w:r>
        <w:rPr>
          <w:rStyle w:val="VerbatimChar"/>
        </w:rPr>
        <w:t xml:space="preserve">  |-------------- HELLO ------------------&gt;|</w:t>
      </w:r>
      <w:r>
        <w:br/>
      </w:r>
      <w:r>
        <w:rPr>
          <w:rStyle w:val="VerbatimChar"/>
        </w:rPr>
        <w:t xml:space="preserve">  |&lt;------------- CHALLENGE ----------------|</w:t>
      </w:r>
      <w:r>
        <w:br/>
      </w:r>
      <w:r>
        <w:rPr>
          <w:rStyle w:val="VerbatimChar"/>
        </w:rPr>
        <w:t xml:space="preserve">  |-------------- ENTROPY -----------------&gt;|</w:t>
      </w:r>
      <w:r>
        <w:br/>
      </w:r>
      <w:r>
        <w:rPr>
          <w:rStyle w:val="VerbatimChar"/>
        </w:rPr>
        <w:t xml:space="preserve">  |&lt;------------- IDENTITY_ACK -------------|</w:t>
      </w:r>
      <w:r>
        <w:br/>
      </w:r>
      <w:r>
        <w:rPr>
          <w:rStyle w:val="VerbatimChar"/>
        </w:rPr>
        <w:t xml:space="preserve">  |-------------- PROOF -------------------&gt;|</w:t>
      </w:r>
      <w:r>
        <w:br/>
      </w:r>
      <w:r>
        <w:rPr>
          <w:rStyle w:val="VerbatimChar"/>
        </w:rPr>
        <w:t xml:space="preserve">  |&lt;------------- TRUST_RESULT -------------|</w:t>
      </w:r>
      <w:r>
        <w:br/>
      </w:r>
      <w:r>
        <w:rPr>
          <w:rStyle w:val="VerbatimChar"/>
        </w:rPr>
        <w:t xml:space="preserve">  |&lt;------------- SESSION_DNA --------------|</w:t>
      </w:r>
      <w:r>
        <w:br/>
      </w:r>
      <w:r>
        <w:rPr>
          <w:rStyle w:val="VerbatimChar"/>
        </w:rPr>
        <w:t xml:space="preserve">  |==== periodic ====&gt; VERIFY &lt;====================&gt;|</w:t>
      </w:r>
      <w:r>
        <w:br/>
      </w:r>
      <w:r>
        <w:rPr>
          <w:rStyle w:val="VerbatimChar"/>
        </w:rPr>
        <w:t xml:space="preserve">  |-------------- RENEW / REVOKE -----------&gt;|</w:t>
      </w:r>
    </w:p>
    <w:p>
      <w:pPr>
        <w:pStyle w:val="FirstParagraph"/>
      </w:pPr>
      <w:r>
        <w:rPr>
          <w:bCs/>
          <w:b/>
        </w:rPr>
        <w:t xml:space="preserve">Figure 1: The IDP handshake and verification loop (RFC-0001 §3).</w:t>
      </w:r>
    </w:p>
    <w:p>
      <w:pPr>
        <w:pStyle w:val="BodyText"/>
      </w:pPr>
      <w:r>
        <w:rPr>
          <w:rStyle w:val="VerbatimChar"/>
        </w:rPr>
        <w:t xml:space="preserve">HELLO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CHALLENGE</w:t>
      </w:r>
      <w:r>
        <w:t xml:space="preserve"> </w:t>
      </w:r>
      <w:r>
        <w:t xml:space="preserve">negotiate a cipher suite and exchange fresh</w:t>
      </w:r>
      <w:r>
        <w:t xml:space="preserve"> </w:t>
      </w:r>
      <w:r>
        <w:t xml:space="preserve">nonces and ephemeral X25519 public keys.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carries the client’s</w:t>
      </w:r>
      <w:r>
        <w:t xml:space="preserve"> </w:t>
      </w:r>
      <w:r>
        <w:t xml:space="preserve">consented, pre-hashed device/behavioral/contextual signal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device_dna_hash</w:t>
      </w:r>
      <w:r>
        <w:t xml:space="preserve">) plus a reference to a consent receipt; the server</w:t>
      </w:r>
      <w:r>
        <w:t xml:space="preserve"> </w:t>
      </w:r>
      <w:r>
        <w:t xml:space="preserve">never receives raw signal data over the wire (§6). The server compiles</w:t>
      </w:r>
      <w:r>
        <w:t xml:space="preserve"> </w:t>
      </w:r>
      <w:r>
        <w:t xml:space="preserve">this into an</w:t>
      </w:r>
      <w:r>
        <w:t xml:space="preserve"> </w:t>
      </w:r>
      <w:r>
        <w:rPr>
          <w:bCs/>
          <w:b/>
        </w:rPr>
        <w:t xml:space="preserve">Identity Vector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IDENTITY_ACK</w:t>
      </w:r>
      <w:r>
        <w:t xml:space="preserve">. The client</w:t>
      </w:r>
      <w:r>
        <w:t xml:space="preserve"> </w:t>
      </w:r>
      <w:r>
        <w:t xml:space="preserve">then signs a hash of the entire transcript so far with an Ed25519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PROOF</w:t>
      </w:r>
      <w:r>
        <w:t xml:space="preserve">), binding the signature to every prior message and preventing</w:t>
      </w:r>
      <w:r>
        <w:t xml:space="preserve"> </w:t>
      </w:r>
      <w:r>
        <w:t xml:space="preserve">a captured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from being replayed against a different handshake.</w:t>
      </w:r>
      <w:r>
        <w:t xml:space="preserve"> </w:t>
      </w:r>
      <w:r>
        <w:t xml:space="preserve">The server verifies the signature, computes the</w:t>
      </w:r>
      <w:r>
        <w:t xml:space="preserve"> </w:t>
      </w:r>
      <w:r>
        <w:rPr>
          <w:bCs/>
          <w:b/>
        </w:rPr>
        <w:t xml:space="preserve">Trust Score</w:t>
      </w:r>
      <w:r>
        <w:t xml:space="preserve"> </w:t>
      </w:r>
      <w:r>
        <w:t xml:space="preserve">(§4),</w:t>
      </w:r>
      <w:r>
        <w:t xml:space="preserve"> </w:t>
      </w:r>
      <w:r>
        <w:t xml:space="preserve">and returns a</w:t>
      </w:r>
      <w:r>
        <w:t xml:space="preserve"> </w:t>
      </w:r>
      <w:r>
        <w:rPr>
          <w:rStyle w:val="VerbatimChar"/>
        </w:rPr>
        <w:t xml:space="preserve">TRUST_RESULT</w:t>
      </w:r>
      <w:r>
        <w:t xml:space="preserve"> </w:t>
      </w:r>
      <w:r>
        <w:t xml:space="preserve">plus, if the decision is not an outright</w:t>
      </w:r>
      <w:r>
        <w:t xml:space="preserve"> </w:t>
      </w:r>
      <w:r>
        <w:t xml:space="preserve">denial, a</w:t>
      </w:r>
      <w:r>
        <w:t xml:space="preserve"> </w:t>
      </w:r>
      <w:r>
        <w:rPr>
          <w:rStyle w:val="VerbatimChar"/>
        </w:rPr>
        <w:t xml:space="preserve">SESSION_DNA</w:t>
      </w:r>
      <w:r>
        <w:t xml:space="preserve"> </w:t>
      </w:r>
      <w:r>
        <w:t xml:space="preserve">— an ephemeral, HKDF-derived session identifier</w:t>
      </w:r>
      <w:r>
        <w:t xml:space="preserve"> </w:t>
      </w:r>
      <w:r>
        <w:t xml:space="preserve">bound to the ephemeral ECDH transcript, providing forward secrecy (§7).</w:t>
      </w:r>
    </w:p>
    <w:bookmarkEnd w:id="26"/>
    <w:bookmarkStart w:id="27" w:name="state-machine"/>
    <w:p>
      <w:pPr>
        <w:pStyle w:val="Heading2"/>
      </w:pPr>
      <w:r>
        <w:t xml:space="preserve">3.2 State machine</w:t>
      </w:r>
    </w:p>
    <w:p>
      <w:pPr>
        <w:pStyle w:val="FirstParagraph"/>
      </w:pPr>
      <w:r>
        <w:t xml:space="preserve">Every message is valid in exactly one state; the reference</w:t>
      </w:r>
      <w:r>
        <w:t xml:space="preserve"> </w:t>
      </w:r>
      <w:r>
        <w:t xml:space="preserve">implementation enforces this as a state machine (RFC-0001 §5) and</w:t>
      </w:r>
      <w:r>
        <w:t xml:space="preserve"> </w:t>
      </w:r>
      <w:r>
        <w:t xml:space="preserve">rejects out-of-order, replayed, or malformed messages with a specific</w:t>
      </w:r>
      <w:r>
        <w:t xml:space="preserve"> </w:t>
      </w:r>
      <w:r>
        <w:t xml:space="preserve">registered error code rather than a generic failure (§10 catalogs the</w:t>
      </w:r>
      <w:r>
        <w:t xml:space="preserve"> </w:t>
      </w:r>
      <w:r>
        <w:t xml:space="preserve">9 states and 12 registered error codes). §9.2 of this paper reports on</w:t>
      </w:r>
      <w:r>
        <w:t xml:space="preserve"> </w:t>
      </w:r>
      <w:r>
        <w:t xml:space="preserve">adversarial fuzz testing that specifically targets this state machine.</w:t>
      </w:r>
    </w:p>
    <w:bookmarkEnd w:id="27"/>
    <w:bookmarkStart w:id="28" w:name="the-consent-gated-entropy-model"/>
    <w:p>
      <w:pPr>
        <w:pStyle w:val="Heading2"/>
      </w:pPr>
      <w:r>
        <w:t xml:space="preserve">3.3 The consent-gated entropy model</w:t>
      </w:r>
    </w:p>
    <w:p>
      <w:pPr>
        <w:pStyle w:val="FirstParagraph"/>
      </w:pPr>
      <w:r>
        <w:t xml:space="preserve">RFC-0001 §10 (the</w:t>
      </w:r>
      <w:r>
        <w:t xml:space="preserve"> </w:t>
      </w:r>
      <w:r>
        <w:t xml:space="preserve">“</w:t>
      </w:r>
      <w:r>
        <w:t xml:space="preserve">Privacy Addendum</w:t>
      </w:r>
      <w:r>
        <w:t xml:space="preserve">”</w:t>
      </w:r>
      <w:r>
        <w:t xml:space="preserve">) is, unusually for a protocol</w:t>
      </w:r>
      <w:r>
        <w:t xml:space="preserve"> </w:t>
      </w:r>
      <w:r>
        <w:t xml:space="preserve">specification, normative on a privacy question rather than leaving it</w:t>
      </w:r>
      <w:r>
        <w:t xml:space="preserve"> </w:t>
      </w:r>
      <w:r>
        <w:t xml:space="preserve">to implementer policy: device signal collection MUST be disclosed in</w:t>
      </w:r>
      <w:r>
        <w:t xml:space="preserve"> </w:t>
      </w:r>
      <w:r>
        <w:t xml:space="preserve">plain language, gated on a revocable consent receipt, transmitted only</w:t>
      </w:r>
      <w:r>
        <w:t xml:space="preserve"> </w:t>
      </w:r>
      <w:r>
        <w:t xml:space="preserve">as an irreversible hash, retained nowhere by default, and never used</w:t>
      </w:r>
      <w:r>
        <w:t xml:space="preserve"> </w:t>
      </w:r>
      <w:r>
        <w:t xml:space="preserve">for cross-Relying-Party tracking. §6 of this paper discusses the</w:t>
      </w:r>
      <w:r>
        <w:t xml:space="preserve"> </w:t>
      </w:r>
      <w:r>
        <w:t xml:space="preserve">implementation of this constraint and its interaction with the formal</w:t>
      </w:r>
      <w:r>
        <w:t xml:space="preserve"> </w:t>
      </w:r>
      <w:r>
        <w:t xml:space="preserve">trust model.</w:t>
      </w:r>
    </w:p>
    <w:bookmarkEnd w:id="28"/>
    <w:bookmarkStart w:id="29" w:name="session-lifecycle"/>
    <w:p>
      <w:pPr>
        <w:pStyle w:val="Heading2"/>
      </w:pPr>
      <w:r>
        <w:t xml:space="preserve">3.4 Session lifecycle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SESSION_DNA</w:t>
      </w:r>
      <w:r>
        <w:t xml:space="preserve"> </w:t>
      </w:r>
      <w:r>
        <w:t xml:space="preserve">value is not a static bearer token; it is derived via</w:t>
      </w:r>
      <w:r>
        <w:t xml:space="preserve"> </w:t>
      </w:r>
      <w:r>
        <w:rPr>
          <w:rStyle w:val="VerbatimChar"/>
        </w:rPr>
        <w:t xml:space="preserve">SDNA_0 = HKDF(ECDH(client_eph, server_eph), transcript_hash, "IDP-SESSION-DNA-v1")</w:t>
      </w:r>
      <w:r>
        <w:t xml:space="preserve"> </w:t>
      </w:r>
      <w:r>
        <w:t xml:space="preserve">and MUST rotate at least every</w:t>
      </w:r>
      <w:r>
        <w:t xml:space="preserve"> </w:t>
      </w:r>
      <w:r>
        <w:rPr>
          <w:rStyle w:val="VerbatimChar"/>
        </w:rPr>
        <w:t xml:space="preserve">rotation_interval_s</w:t>
      </w:r>
      <w:r>
        <w:t xml:space="preserve"> </w:t>
      </w:r>
      <w:r>
        <w:t xml:space="preserve">(default 300</w:t>
      </w:r>
      <w:r>
        <w:t xml:space="preserve"> </w:t>
      </w:r>
      <w:r>
        <w:t xml:space="preserve">seconds) via</w:t>
      </w:r>
      <w:r>
        <w:t xml:space="preserve"> </w:t>
      </w:r>
      <w:r>
        <w:rPr>
          <w:rStyle w:val="VerbatimChar"/>
        </w:rPr>
        <w:t xml:space="preserve">SDNA_(k+1) = HKDF(SDNA_k, rotation_nonce_k, "IDP-ROTATE-v1")</w:t>
      </w:r>
      <w:r>
        <w:t xml:space="preserve">. A superseded generation MUST be rejected by the</w:t>
      </w:r>
      <w:r>
        <w:t xml:space="preserve"> </w:t>
      </w:r>
      <w:r>
        <w:t xml:space="preserve">server even before its nominal expiry — there is no reuse window. This</w:t>
      </w:r>
      <w:r>
        <w:t xml:space="preserve"> </w:t>
      </w:r>
      <w:r>
        <w:t xml:space="preserve">bounds the value of a stolen but not-immediately-used session token to</w:t>
      </w:r>
      <w:r>
        <w:t xml:space="preserve"> </w:t>
      </w:r>
      <w:r>
        <w:t xml:space="preserve">at most one rotation interval, a materially different security</w:t>
      </w:r>
      <w:r>
        <w:t xml:space="preserve"> </w:t>
      </w:r>
      <w:r>
        <w:t xml:space="preserve">property from a long-lived bearer token (§10.4 discusses the residual</w:t>
      </w:r>
      <w:r>
        <w:t xml:space="preserve"> </w:t>
      </w:r>
      <w:r>
        <w:t xml:space="preserve">risk of immediate reuse, which this mechanism does not address).</w:t>
      </w:r>
      <w:r>
        <w:t xml:space="preserve"> </w:t>
      </w:r>
    </w:p>
    <w:bookmarkEnd w:id="29"/>
    <w:bookmarkEnd w:id="30"/>
    <w:bookmarkStart w:id="35" w:name="formal-mathematical-model"/>
    <w:p>
      <w:pPr>
        <w:pStyle w:val="Heading1"/>
      </w:pPr>
      <w:r>
        <w:t xml:space="preserve">4. Formal Mathematical Model</w:t>
      </w:r>
    </w:p>
    <w:p>
      <w:pPr>
        <w:pStyle w:val="FirstParagraph"/>
      </w:pPr>
      <w:r>
        <w:t xml:space="preserve">This section presents the trust-scoring model in full, including two</w:t>
      </w:r>
      <w:r>
        <w:t xml:space="preserve"> </w:t>
      </w:r>
      <w:r>
        <w:t xml:space="preserve">corrections made to an earlier draft of the model after property-based</w:t>
      </w:r>
      <w:r>
        <w:t xml:space="preserve"> </w:t>
      </w:r>
      <w:r>
        <w:t xml:space="preserve">testing revealed defects (§8.1) — we report the corrected model here</w:t>
      </w:r>
      <w:r>
        <w:t xml:space="preserve"> </w:t>
      </w:r>
      <w:r>
        <w:t xml:space="preserve">and discuss the discovery process as a methodological contribution in</w:t>
      </w:r>
      <w:r>
        <w:t xml:space="preserve"> </w:t>
      </w:r>
      <w:r>
        <w:t xml:space="preserve">its own right, rather than silently presenting only the final, clean</w:t>
      </w:r>
      <w:r>
        <w:t xml:space="preserve"> </w:t>
      </w:r>
      <w:r>
        <w:t xml:space="preserve">version.</w:t>
      </w:r>
    </w:p>
    <w:bookmarkStart w:id="31" w:name="the-identity-vector"/>
    <w:p>
      <w:pPr>
        <w:pStyle w:val="Heading2"/>
      </w:pPr>
      <w:r>
        <w:t xml:space="preserve">4.1 The Identity Vector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iCs/>
          <w:i/>
        </w:rPr>
        <w:t xml:space="preserve">D</w:t>
      </w:r>
      <w:r>
        <w:t xml:space="preserve">,</w:t>
      </w:r>
      <w:r>
        <w:t xml:space="preserve"> </w:t>
      </w:r>
      <w:r>
        <w:rPr>
          <w:iCs/>
          <w:i/>
        </w:rPr>
        <w:t xml:space="preserve">B</w:t>
      </w:r>
      <w:r>
        <w:t xml:space="preserve">,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denote, respectively, the raw device, behavioral, and</w:t>
      </w:r>
      <w:r>
        <w:t xml:space="preserve"> </w:t>
      </w:r>
      <w:r>
        <w:t xml:space="preserve">contextual signal inputs for one session (subject to the consent and</w:t>
      </w:r>
      <w:r>
        <w:t xml:space="preserve"> </w:t>
      </w:r>
      <w:r>
        <w:t xml:space="preserve">allow-listing constraints of §6). Three layer functions map each input</w:t>
      </w:r>
      <w:r>
        <w:t xml:space="preserve"> </w:t>
      </w:r>
      <w:r>
        <w:t xml:space="preserve">to a vector in [0,1]ⁿ (default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256) via a domain-separated hash</w:t>
      </w:r>
      <w:r>
        <w:t xml:space="preserve"> </w:t>
      </w:r>
      <w:r>
        <w:t xml:space="preserve">and an HKDF-Expand-based stream expansion:</w:t>
      </w:r>
    </w:p>
    <w:p>
      <w:pPr>
        <w:pStyle w:val="SourceCode"/>
      </w:pPr>
      <w:r>
        <w:rPr>
          <w:rStyle w:val="VerbatimChar"/>
        </w:rPr>
        <w:t xml:space="preserve">f_device(D)   = Expand( H("IDP-DEVICE-DNA-v1"   || normalize_D(D)), n )</w:t>
      </w:r>
      <w:r>
        <w:br/>
      </w:r>
      <w:r>
        <w:rPr>
          <w:rStyle w:val="VerbatimChar"/>
        </w:rPr>
        <w:t xml:space="preserve">f_behavior(B) = Expand( H("IDP-BEHAVIOR-v1"     || normalize_B(B)), n )</w:t>
      </w:r>
      <w:r>
        <w:br/>
      </w:r>
      <w:r>
        <w:rPr>
          <w:rStyle w:val="VerbatimChar"/>
        </w:rPr>
        <w:t xml:space="preserve">f_context(C)  = Expand( H("IDP-CONTEXT-v1"      || normalize_C(C)), n 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is BLAKE3-256 [OConnor2020] and</w:t>
      </w:r>
      <w:r>
        <w:t xml:space="preserve"> </w:t>
      </w:r>
      <w:r>
        <w:rPr>
          <w:iCs/>
          <w:i/>
        </w:rPr>
        <w:t xml:space="preserve">Expand</w:t>
      </w:r>
      <w:r>
        <w:t xml:space="preserve"> </w:t>
      </w:r>
      <w:r>
        <w:t xml:space="preserve">is HKDF-Expand (not</w:t>
      </w:r>
      <w:r>
        <w:t xml:space="preserve"> </w:t>
      </w:r>
      <w:r>
        <w:t xml:space="preserve">full HKDF — see §9.1 for why this distinction matters more than it</w:t>
      </w:r>
      <w:r>
        <w:t xml:space="preserve"> </w:t>
      </w:r>
      <w:r>
        <w:t xml:space="preserve">looks like it should). The three layers are combined by a weighted sum</w:t>
      </w:r>
      <w:r>
        <w:t xml:space="preserve"> </w:t>
      </w:r>
      <w:r>
        <w:t xml:space="preserve">and projected onto the unit hypersphere:</w:t>
      </w:r>
    </w:p>
    <w:p>
      <w:pPr>
        <w:pStyle w:val="SourceCode"/>
      </w:pPr>
      <w:r>
        <w:rPr>
          <w:rStyle w:val="VerbatimChar"/>
        </w:rPr>
        <w:t xml:space="preserve">IV_raw = w_d · f_device(D)  +  w_b · f_behavior(B)  +  w_c · f_context(C),   w_d + w_b + w_c = 1</w:t>
      </w:r>
      <w:r>
        <w:br/>
      </w:r>
      <w:r>
        <w:rPr>
          <w:rStyle w:val="VerbatimChar"/>
        </w:rPr>
        <w:t xml:space="preserve">IV     = IV_raw / ‖IV_raw‖₂</w:t>
      </w:r>
    </w:p>
    <w:p>
      <w:pPr>
        <w:pStyle w:val="FirstParagraph"/>
      </w:pPr>
      <w:r>
        <w:t xml:space="preserve">with default weights (w_d, w_b, w_c) = (0.5, 0.3, 0.2), reflecting that</w:t>
      </w:r>
      <w:r>
        <w:t xml:space="preserve"> </w:t>
      </w:r>
      <w:r>
        <w:t xml:space="preserve">device signals are the most session-to-session stable</w:t>
      </w:r>
      <w:r>
        <w:t xml:space="preserve"> </w:t>
      </w:r>
      <w:r>
        <w:t xml:space="preserve">identity-correlated layer, with behavior and context as lower-weighted</w:t>
      </w:r>
      <w:r>
        <w:t xml:space="preserve"> </w:t>
      </w:r>
      <w:r>
        <w:t xml:space="preserve">corroborating signals. If ‖IV_raw‖₂ = 0 (degenerate all-zero input),</w:t>
      </w:r>
      <w:r>
        <w:t xml:space="preserve"> </w:t>
      </w:r>
      <w:r>
        <w:t xml:space="preserve">the reference implementation raises a typed error rather than dividing</w:t>
      </w:r>
      <w:r>
        <w:t xml:space="preserve"> </w:t>
      </w:r>
      <w:r>
        <w:t xml:space="preserve">by zero — verified by property-based fuzz testing across the full</w:t>
      </w:r>
      <w:r>
        <w:t xml:space="preserve"> </w:t>
      </w:r>
      <w:r>
        <w:t xml:space="preserve">space of malformed and edge-case inputs (§8.3).</w:t>
      </w:r>
    </w:p>
    <w:p>
      <w:pPr>
        <w:pStyle w:val="BodyText"/>
      </w:pPr>
      <w:r>
        <w:rPr>
          <w:bCs/>
          <w:b/>
        </w:rPr>
        <w:t xml:space="preserve">Identity distance.</w:t>
      </w:r>
      <w:r>
        <w:t xml:space="preserve"> </w:t>
      </w:r>
      <w:r>
        <w:t xml:space="preserve">For two Identity Vectors from the same claimed</w:t>
      </w:r>
      <w:r>
        <w:t xml:space="preserve"> </w:t>
      </w:r>
      <w:r>
        <w:t xml:space="preserve">principal across sessions, since both are unit-norm, cosine similarity</w:t>
      </w:r>
      <w:r>
        <w:t xml:space="preserve"> </w:t>
      </w:r>
      <w:r>
        <w:t xml:space="preserve">reduces to the dot product:</w:t>
      </w:r>
    </w:p>
    <w:p>
      <w:pPr>
        <w:pStyle w:val="SourceCode"/>
      </w:pPr>
      <w:r>
        <w:rPr>
          <w:rStyle w:val="VerbatimChar"/>
        </w:rPr>
        <w:t xml:space="preserve">d(IV_a, IV_b) = 1 − cos(IV_a, IV_b) = 1 − IV_a · IV_b        d ∈ [0, 2]</w:t>
      </w:r>
    </w:p>
    <w:bookmarkEnd w:id="31"/>
    <w:bookmarkStart w:id="32" w:name="the-trust-score"/>
    <w:p>
      <w:pPr>
        <w:pStyle w:val="Heading2"/>
      </w:pPr>
      <w:r>
        <w:t xml:space="preserve">4.2 The Trust Score</w:t>
      </w:r>
    </w:p>
    <w:p>
      <w:pPr>
        <w:pStyle w:val="FirstParagraph"/>
      </w:pPr>
      <w:r>
        <w:t xml:space="preserve">The overall Trust Score at time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TS(t) = clamp( w1·S_identity(t) + w2·S_history(t) + w3·S_context(t) − w4·R_risk(t),  0,  100 )</w:t>
      </w:r>
    </w:p>
    <w:p>
      <w:pPr>
        <w:pStyle w:val="FirstParagraph"/>
      </w:pPr>
      <w:r>
        <w:t xml:space="preserve">with default weights w1 = 0.35, w2 = 0.30, w3 = 0.15, w4 = 0.20 (risk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subtracted</w:t>
      </w:r>
      <w:r>
        <w:t xml:space="preserve">, not averaged in, so that a single severe risk flag</w:t>
      </w:r>
      <w:r>
        <w:t xml:space="preserve"> </w:t>
      </w:r>
      <w:r>
        <w:t xml:space="preserve">can dominate the score regardless of otherwise-good signals — a</w:t>
      </w:r>
      <w:r>
        <w:t xml:space="preserve"> </w:t>
      </w:r>
      <w:r>
        <w:t xml:space="preserve">deliberate asymmetry: many good signals should not be able to</w:t>
      </w:r>
      <w:r>
        <w:t xml:space="preserve"> </w:t>
      </w:r>
      <w:r>
        <w:t xml:space="preserve">“</w:t>
      </w:r>
      <w:r>
        <w:t xml:space="preserve">outvote</w:t>
      </w:r>
      <w:r>
        <w:t xml:space="preserve">”</w:t>
      </w:r>
      <w:r>
        <w:t xml:space="preserve"> </w:t>
      </w:r>
      <w:r>
        <w:t xml:space="preserve">one strong indicator of compromise).</w:t>
      </w:r>
    </w:p>
    <w:p>
      <w:pPr>
        <w:pStyle w:val="BodyText"/>
      </w:pPr>
      <w:r>
        <w:rPr>
          <w:bCs/>
          <w:b/>
        </w:rPr>
        <w:t xml:space="preserve">Identity consistency score.</w:t>
      </w:r>
    </w:p>
    <w:p>
      <w:pPr>
        <w:pStyle w:val="SourceCode"/>
      </w:pPr>
      <w:r>
        <w:rPr>
          <w:rStyle w:val="VerbatimChar"/>
        </w:rPr>
        <w:t xml:space="preserve">S_identity(t) = 100 · ( 1 − d(IV(t), IV_baseline)/2 ) · confidence(t)</w:t>
      </w:r>
    </w:p>
    <w:p>
      <w:pPr>
        <w:pStyle w:val="FirstParagraph"/>
      </w:pPr>
      <w:r>
        <w:t xml:space="preserve">This is the corrected form of the formula (§8.1 discusses the original,</w:t>
      </w:r>
      <w:r>
        <w:t xml:space="preserve"> </w:t>
      </w:r>
      <w:r>
        <w:t xml:space="preserve">defective version). Since d ∈ [0,2], this ranges over [0,</w:t>
      </w:r>
      <w:r>
        <w:t xml:space="preserve"> </w:t>
      </w:r>
      <w:r>
        <w:t xml:space="preserve">100·confidence]: a perfect match (d = 0) scores the maximum; the</w:t>
      </w:r>
      <w:r>
        <w:t xml:space="preserve"> </w:t>
      </w:r>
      <w:r>
        <w:t xml:space="preserve">neutral/uninformative case d = 1 (orthogonal vectors, including a</w:t>
      </w:r>
      <w:r>
        <w:t xml:space="preserve"> </w:t>
      </w:r>
      <w:r>
        <w:t xml:space="preserve">first-ever session with no enrolled baseline, by convention) scores</w:t>
      </w:r>
      <w:r>
        <w:t xml:space="preserve"> </w:t>
      </w:r>
      <w:r>
        <w:t xml:space="preserve">the midpoint 50·confidence; a maximally divergent comparison (d = 2)</w:t>
      </w:r>
      <w:r>
        <w:t xml:space="preserve"> </w:t>
      </w:r>
      <w:r>
        <w:t xml:space="preserve">scores zero.</w:t>
      </w:r>
    </w:p>
    <w:p>
      <w:pPr>
        <w:pStyle w:val="BodyText"/>
      </w:pPr>
      <w:r>
        <w:rPr>
          <w:bCs/>
          <w:b/>
        </w:rPr>
        <w:t xml:space="preserve">History score</w:t>
      </w:r>
      <w:r>
        <w:t xml:space="preserve"> </w:t>
      </w:r>
      <w:r>
        <w:t xml:space="preserve">(exponentially-weighted recency, decay λ = 0.85,</w:t>
      </w:r>
      <w:r>
        <w:t xml:space="preserve"> </w:t>
      </w:r>
      <w:r>
        <w:t xml:space="preserve">window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20 sessions):</w:t>
      </w:r>
    </w:p>
    <w:p>
      <w:pPr>
        <w:pStyle w:val="SourceCode"/>
      </w:pPr>
      <w:r>
        <w:rPr>
          <w:rStyle w:val="VerbatimChar"/>
        </w:rPr>
        <w:t xml:space="preserve">S_history(t) = 100 · Σ(k=1..K) λ^(k-1)·match(t-k)  /  Σ(k=1..K) λ^(k-1)        match(t-k) ∈ {0,1}</w:t>
      </w:r>
    </w:p>
    <w:p>
      <w:pPr>
        <w:pStyle w:val="FirstParagraph"/>
      </w:pPr>
      <w:r>
        <w:t xml:space="preserve">We define match(t−k) = 1 for session outcomes of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,</w:t>
      </w:r>
      <w:r>
        <w:t xml:space="preserve"> </w:t>
      </w:r>
      <w:r>
        <w:t xml:space="preserve">and 0 only for an outright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— not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alone, as an earlier</w:t>
      </w:r>
      <w:r>
        <w:t xml:space="preserve"> </w:t>
      </w:r>
      <w:r>
        <w:t xml:space="preserve">draft specified. §8.1 documents the structural deadlock this correction</w:t>
      </w:r>
      <w:r>
        <w:t xml:space="preserve"> </w:t>
      </w:r>
      <w:r>
        <w:t xml:space="preserve">fixes: under the stricter original definition,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 </w:t>
      </w:r>
      <w:r>
        <w:t xml:space="preserve">counted as a</w:t>
      </w:r>
      <w:r>
        <w:t xml:space="preserve"> </w:t>
      </w:r>
      <w:r>
        <w:t xml:space="preserve">history</w:t>
      </w:r>
      <w:r>
        <w:t xml:space="preserve"> </w:t>
      </w:r>
      <w:r>
        <w:rPr>
          <w:iCs/>
          <w:i/>
        </w:rPr>
        <w:t xml:space="preserve">failure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required a good history score, and a</w:t>
      </w:r>
      <w:r>
        <w:t xml:space="preserve"> </w:t>
      </w:r>
      <w:r>
        <w:t xml:space="preserve">first-ever (no-baseline) session could score no higher than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 </w:t>
      </w:r>
      <w:r>
        <w:t xml:space="preserve">— meaning no subject could ever accumulate the history needed to ever</w:t>
      </w:r>
      <w:r>
        <w:t xml:space="preserve"> </w:t>
      </w:r>
      <w:r>
        <w:t xml:space="preserve">reach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 a permanent-lockout deadlock discovered empirically by</w:t>
      </w:r>
      <w:r>
        <w:t xml:space="preserve"> </w:t>
      </w:r>
      <w:r>
        <w:t xml:space="preserve">running the reference implementation’s persistence layer repeatedly,</w:t>
      </w:r>
      <w:r>
        <w:t xml:space="preserve"> </w:t>
      </w:r>
      <w:r>
        <w:t xml:space="preserve">not derived analytically in advance.</w:t>
      </w:r>
    </w:p>
    <w:p>
      <w:pPr>
        <w:pStyle w:val="BodyText"/>
      </w:pPr>
      <w:r>
        <w:rPr>
          <w:bCs/>
          <w:b/>
        </w:rPr>
        <w:t xml:space="preserve">Context score</w:t>
      </w:r>
      <w:r>
        <w:t xml:space="preserve"> </w:t>
      </w:r>
      <w:r>
        <w:t xml:space="preserve">(conjunctive — one strongly atypical factor</w:t>
      </w:r>
      <w:r>
        <w:t xml:space="preserve"> </w:t>
      </w:r>
      <w:r>
        <w:t xml:space="preserve">dominates rather than being diluted by several unremarkable ones):</w:t>
      </w:r>
    </w:p>
    <w:p>
      <w:pPr>
        <w:pStyle w:val="SourceCode"/>
      </w:pPr>
      <w:r>
        <w:rPr>
          <w:rStyle w:val="VerbatimChar"/>
        </w:rPr>
        <w:t xml:space="preserve">S_context(t) = 100 · Π(j) p_j(t)        p_j(t) ∈ [0,1]</w:t>
      </w:r>
    </w:p>
    <w:p>
      <w:pPr>
        <w:pStyle w:val="FirstParagraph"/>
      </w:pPr>
      <w:r>
        <w:rPr>
          <w:bCs/>
          <w:b/>
        </w:rPr>
        <w:t xml:space="preserve">Risk function</w:t>
      </w:r>
      <w:r>
        <w:t xml:space="preserve"> </w:t>
      </w:r>
      <w:r>
        <w:t xml:space="preserve">(sum of triggered rule severities; rules include</w:t>
      </w:r>
      <w:r>
        <w:t xml:space="preserve"> </w:t>
      </w:r>
      <w:r>
        <w:t xml:space="preserve">impossible-travel velocity, known-bad device hash, IP reputation,</w:t>
      </w:r>
      <w:r>
        <w:t xml:space="preserve"> </w:t>
      </w:r>
      <w:r>
        <w:t xml:space="preserve">Tor/proxy exit node, replay detection, authentication velocity abuse,</w:t>
      </w:r>
      <w:r>
        <w:t xml:space="preserve"> </w:t>
      </w:r>
      <w:r>
        <w:t xml:space="preserve">Identity Vector drift, and behavioral anomaly):</w:t>
      </w:r>
    </w:p>
    <w:p>
      <w:pPr>
        <w:pStyle w:val="SourceCode"/>
      </w:pPr>
      <w:r>
        <w:rPr>
          <w:rStyle w:val="VerbatimChar"/>
        </w:rPr>
        <w:t xml:space="preserve">R_risk(t) = Σ(i) severity_i · 1[rule_i triggered at t]</w:t>
      </w:r>
    </w:p>
    <w:p>
      <w:pPr>
        <w:pStyle w:val="FirstParagraph"/>
      </w:pPr>
      <w:r>
        <w:rPr>
          <w:bCs/>
          <w:b/>
        </w:rPr>
        <w:t xml:space="preserve">Confidence function</w:t>
      </w:r>
      <w:r>
        <w:t xml:space="preserve"> </w:t>
      </w:r>
      <w:r>
        <w:t xml:space="preserve">(saturating in the number of independent,</w:t>
      </w:r>
      <w:r>
        <w:t xml:space="preserve"> </w:t>
      </w:r>
      <w:r>
        <w:t xml:space="preserve">non-degenerate corroborating signal layers n_eff(t) available,</w:t>
      </w:r>
      <w:r>
        <w:t xml:space="preserve"> </w:t>
      </w:r>
      <w:r>
        <w:t xml:space="preserve">saturation constant τ = 2.0):</w:t>
      </w:r>
    </w:p>
    <w:p>
      <w:pPr>
        <w:pStyle w:val="SourceCode"/>
      </w:pPr>
      <w:r>
        <w:rPr>
          <w:rStyle w:val="VerbatimChar"/>
        </w:rPr>
        <w:t xml:space="preserve">confidence(t) = 1 − exp( −n_eff(t) / τ )</w:t>
      </w:r>
    </w:p>
    <w:p>
      <w:pPr>
        <w:pStyle w:val="FirstParagraph"/>
      </w:pPr>
      <w:r>
        <w:t xml:space="preserve">This damps S_identity’s contribution when fewer independent signal</w:t>
      </w:r>
      <w:r>
        <w:t xml:space="preserve"> </w:t>
      </w:r>
      <w:r>
        <w:t xml:space="preserve">layers are available (e.g. behavioral sampling failed for this</w:t>
      </w:r>
      <w:r>
        <w:t xml:space="preserve"> </w:t>
      </w:r>
      <w:r>
        <w:t xml:space="preserve">session), rather than trusting a partial-evidence match at full weight.</w:t>
      </w:r>
    </w:p>
    <w:bookmarkEnd w:id="32"/>
    <w:bookmarkStart w:id="33" w:name="worked-numeric-example"/>
    <w:p>
      <w:pPr>
        <w:pStyle w:val="Heading2"/>
      </w:pPr>
      <w:r>
        <w:t xml:space="preserve">4.3 Worked numeric example</w:t>
      </w:r>
    </w:p>
    <w:p>
      <w:pPr>
        <w:pStyle w:val="FirstParagraph"/>
      </w:pPr>
      <w:r>
        <w:t xml:space="preserve">Given d = 0.04 (near-identical device), confidence = 0.93, S_history =</w:t>
      </w:r>
      <w:r>
        <w:t xml:space="preserve"> </w:t>
      </w:r>
      <w:r>
        <w:t xml:space="preserve">88, S_context = 95, R_risk = 6 (a minor flag, e.g. a new-but-plausible</w:t>
      </w:r>
      <w:r>
        <w:t xml:space="preserve"> </w:t>
      </w:r>
      <w:r>
        <w:t xml:space="preserve">IP range):</w:t>
      </w:r>
    </w:p>
    <w:p>
      <w:pPr>
        <w:pStyle w:val="SourceCode"/>
      </w:pPr>
      <w:r>
        <w:rPr>
          <w:rStyle w:val="VerbatimChar"/>
        </w:rPr>
        <w:t xml:space="preserve">S_identity = 100 · (1 − 0.02) · 0.93 = 91.14</w:t>
      </w:r>
      <w:r>
        <w:br/>
      </w:r>
      <w:r>
        <w:rPr>
          <w:rStyle w:val="VerbatimChar"/>
        </w:rPr>
        <w:t xml:space="preserve">TS = 0.35(91.14) + 0.30(88) + 0.15(95) − 0.20(6)</w:t>
      </w:r>
      <w:r>
        <w:br/>
      </w:r>
      <w:r>
        <w:rPr>
          <w:rStyle w:val="VerbatimChar"/>
        </w:rPr>
        <w:t xml:space="preserve">   = 31.90 + 26.4 + 14.25 − 1.2</w:t>
      </w:r>
      <w:r>
        <w:br/>
      </w:r>
      <w:r>
        <w:rPr>
          <w:rStyle w:val="VerbatimChar"/>
        </w:rPr>
        <w:t xml:space="preserve">   = 71.35</w:t>
      </w:r>
    </w:p>
    <w:p>
      <w:pPr>
        <w:pStyle w:val="FirstParagraph"/>
      </w:pPr>
      <w:r>
        <w:t xml:space="preserve">With default thresholds (allow = 80, step_up = 50), this session is</w:t>
      </w:r>
      <w:r>
        <w:t xml:space="preserve"> </w:t>
      </w:r>
      <w:r>
        <w:t xml:space="preserve">classified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. This exact fixture (to floating-point precision)</w:t>
      </w:r>
      <w:r>
        <w:t xml:space="preserve"> </w:t>
      </w:r>
      <w:r>
        <w:t xml:space="preserve">is asserted in the reference implementation’s test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test_trust_engine.py::test_worked_example_matches_formal_model_doc</w:t>
      </w:r>
      <w:r>
        <w:t xml:space="preserve">)</w:t>
      </w:r>
      <w:r>
        <w:t xml:space="preserve"> </w:t>
      </w:r>
      <w:r>
        <w:t xml:space="preserve">and is re-verified on every test run, not merely documented as prose.</w:t>
      </w:r>
    </w:p>
    <w:p>
      <w:pPr>
        <w:pStyle w:val="BodyText"/>
      </w:pPr>
      <w:r>
        <w:t xml:space="preserve">For contrast, a first-ever session for the same subject (no baseline;</w:t>
      </w:r>
      <w:r>
        <w:t xml:space="preserve"> </w:t>
      </w:r>
      <w:r>
        <w:t xml:space="preserve">d = 1 by convention, everything else equal) scores S_identity = 46.5</w:t>
      </w:r>
      <w:r>
        <w:t xml:space="preserve"> </w:t>
      </w:r>
      <w:r>
        <w:t xml:space="preserve">and TS = 45.53 — below the step-up threshold, so classified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 A</w:t>
      </w:r>
      <w:r>
        <w:t xml:space="preserve"> </w:t>
      </w:r>
      <w:r>
        <w:t xml:space="preserve">subsequent, now-recognized-device session’s identity contribution</w:t>
      </w:r>
      <w:r>
        <w:t xml:space="preserve"> </w:t>
      </w:r>
      <w:r>
        <w:t xml:space="preserve">(91.14) is nearly double the first session’s (46.5); this</w:t>
      </w:r>
      <w:r>
        <w:t xml:space="preserve"> </w:t>
      </w:r>
      <w:r>
        <w:t xml:space="preserve">near-doubling is the mechanism by which repeated legitimate device use</w:t>
      </w:r>
      <w:r>
        <w:t xml:space="preserve"> </w:t>
      </w:r>
      <w:r>
        <w:t xml:space="preserve">is intended to raise trust over multiple sessions, distinct from and</w:t>
      </w:r>
      <w:r>
        <w:t xml:space="preserve"> </w:t>
      </w:r>
      <w:r>
        <w:t xml:space="preserve">additive to the separate history-based improvement mechanism.</w:t>
      </w:r>
    </w:p>
    <w:bookmarkEnd w:id="33"/>
    <w:bookmarkStart w:id="34" w:name="session-key-derivation"/>
    <w:p>
      <w:pPr>
        <w:pStyle w:val="Heading2"/>
      </w:pPr>
      <w:r>
        <w:t xml:space="preserve">4.4 Session key derivation</w:t>
      </w:r>
    </w:p>
    <w:p>
      <w:pPr>
        <w:pStyle w:val="SourceCode"/>
      </w:pPr>
      <w:r>
        <w:rPr>
          <w:rStyle w:val="VerbatimChar"/>
        </w:rPr>
        <w:t xml:space="preserve">SDNA_0     = HKDF( ikm = ECDH(sk_c, pk_s), salt = H_transcript, info = "IDP-SESSION-DNA-v1" )</w:t>
      </w:r>
      <w:r>
        <w:br/>
      </w:r>
      <w:r>
        <w:rPr>
          <w:rStyle w:val="VerbatimChar"/>
        </w:rPr>
        <w:t xml:space="preserve">SDNA_(k+1) = HKDF( ikm = SDNA_k,           salt = nonce_k,      info = "IDP-ROTATE-v1" )</w:t>
      </w:r>
    </w:p>
    <w:p>
      <w:pPr>
        <w:pStyle w:val="FirstParagraph"/>
      </w:pPr>
      <w:r>
        <w:t xml:space="preserve">Because HKDF is one-way, SDNA_(k+1) reveals nothing about SDNA_k</w:t>
      </w:r>
      <w:r>
        <w:t xml:space="preserve"> </w:t>
      </w:r>
      <w:r>
        <w:t xml:space="preserve">(rotation-forward secrecy), and the initial derivation inherits forward</w:t>
      </w:r>
      <w:r>
        <w:t xml:space="preserve"> </w:t>
      </w:r>
      <w:r>
        <w:t xml:space="preserve">secrecy from the ephemeral (per-session, discarded after use) X25519</w:t>
      </w:r>
      <w:r>
        <w:t xml:space="preserve"> </w:t>
      </w:r>
      <w:r>
        <w:t xml:space="preserve">keypairs — compromise of a long-term signing key does not</w:t>
      </w:r>
      <w:r>
        <w:t xml:space="preserve"> </w:t>
      </w:r>
      <w:r>
        <w:t xml:space="preserve">retroactively compromise past session keys, since signing keys are</w:t>
      </w:r>
      <w:r>
        <w:t xml:space="preserve"> </w:t>
      </w:r>
      <w:r>
        <w:t xml:space="preserve">used only for authentication (the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message), never as ECDH</w:t>
      </w:r>
      <w:r>
        <w:t xml:space="preserve"> </w:t>
      </w:r>
      <w:r>
        <w:t xml:space="preserve">input.</w:t>
      </w:r>
      <w:r>
        <w:t xml:space="preserve"> </w:t>
      </w:r>
    </w:p>
    <w:bookmarkEnd w:id="34"/>
    <w:bookmarkEnd w:id="35"/>
    <w:bookmarkStart w:id="39" w:name="cryptographic-foundations"/>
    <w:p>
      <w:pPr>
        <w:pStyle w:val="Heading1"/>
      </w:pPr>
      <w:r>
        <w:t xml:space="preserve">5. Cryptographic Foundations</w:t>
      </w:r>
    </w:p>
    <w:p>
      <w:pPr>
        <w:pStyle w:val="FirstParagraph"/>
      </w:pPr>
      <w:r>
        <w:t xml:space="preserve">Consistent with design goal 3 (§1.2), IDP specifies only externally</w:t>
      </w:r>
      <w:r>
        <w:t xml:space="preserve"> </w:t>
      </w:r>
      <w:r>
        <w:t xml:space="preserve">audited, standard primitives (Table 2) and forbids novel cryptographic</w:t>
      </w:r>
      <w:r>
        <w:t xml:space="preserve"> </w:t>
      </w:r>
      <w:r>
        <w:t xml:space="preserve">design; protocol originality is confined to composition.</w:t>
      </w:r>
    </w:p>
    <w:p>
      <w:pPr>
        <w:pStyle w:val="BodyText"/>
      </w:pPr>
      <w:r>
        <w:rPr>
          <w:bCs/>
          <w:b/>
        </w:rPr>
        <w:t xml:space="preserve">Table 2: Approved cryptographic primitives (RFC-0001 §11.1)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BLAKE3-256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[OConnor2020]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8032 [RFC8032]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7748 [RFC7748]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HKDF-SHA256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5869 [RFC5869]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Password/low-entropy KDF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[Biryukov2016]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ChaCha20-Poly1305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8439 [RFC8439]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CSPRNG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6" w:name="domain-separation"/>
    <w:p>
      <w:pPr>
        <w:pStyle w:val="Heading2"/>
      </w:pPr>
      <w:r>
        <w:t xml:space="preserve">5.1 Domain separation</w:t>
      </w:r>
    </w:p>
    <w:p>
      <w:pPr>
        <w:pStyle w:val="FirstParagraph"/>
      </w:pPr>
      <w:r>
        <w:t xml:space="preserve">Every hash invocation includes a fixed, unique ASCII domain-separation</w:t>
      </w:r>
      <w:r>
        <w:t xml:space="preserve"> </w:t>
      </w:r>
      <w:r>
        <w:t xml:space="preserve">prefix (e.g. </w:t>
      </w:r>
      <w:r>
        <w:rPr>
          <w:rStyle w:val="VerbatimChar"/>
        </w:rPr>
        <w:t xml:space="preserve">"IDP-SESSION-DNA-v1"</w:t>
      </w:r>
      <w:r>
        <w:t xml:space="preserve">,</w:t>
      </w:r>
      <w:r>
        <w:t xml:space="preserve"> </w:t>
      </w:r>
      <w:r>
        <w:rPr>
          <w:rStyle w:val="VerbatimChar"/>
        </w:rPr>
        <w:t xml:space="preserve">"IDP-DEVICE-DNA-v1"</w:t>
      </w:r>
      <w:r>
        <w:t xml:space="preserve">,</w:t>
      </w:r>
      <w:r>
        <w:t xml:space="preserve"> </w:t>
      </w:r>
      <w:r>
        <w:rPr>
          <w:rStyle w:val="VerbatimChar"/>
        </w:rPr>
        <w:t xml:space="preserve">"IDP-TRANSCRIPT-v1"</w:t>
      </w:r>
      <w:r>
        <w:t xml:space="preserve">). This is not a stylistic convention but a</w:t>
      </w:r>
      <w:r>
        <w:t xml:space="preserve"> </w:t>
      </w:r>
      <w:r>
        <w:t xml:space="preserve">concrete security property: it prevents a value computed for one</w:t>
      </w:r>
      <w:r>
        <w:t xml:space="preserve"> </w:t>
      </w:r>
      <w:r>
        <w:t xml:space="preserve">purpose (e.g. a Device DNA hash) from being reinterpretable as a valid</w:t>
      </w:r>
      <w:r>
        <w:t xml:space="preserve"> </w:t>
      </w:r>
      <w:r>
        <w:t xml:space="preserve">value for a different purpose (e.g. a transcript hash) even if the</w:t>
      </w:r>
      <w:r>
        <w:t xml:space="preserve"> </w:t>
      </w:r>
      <w:r>
        <w:t xml:space="preserve">underlying input bytes happened to coincide. The reference</w:t>
      </w:r>
      <w:r>
        <w:t xml:space="preserve"> </w:t>
      </w:r>
      <w:r>
        <w:t xml:space="preserve">implementation enforces this at the API level — the core hashing</w:t>
      </w:r>
      <w:r>
        <w:t xml:space="preserve"> </w:t>
      </w:r>
      <w:r>
        <w:t xml:space="preserve">function raises a typed error if called without an explicit domain tag</w:t>
      </w:r>
      <w:r>
        <w:t xml:space="preserve"> </w:t>
      </w:r>
      <w:r>
        <w:t xml:space="preserve">— and property-based testing (§8.3) confirms empirically, across</w:t>
      </w:r>
      <w:r>
        <w:t xml:space="preserve"> </w:t>
      </w:r>
      <w:r>
        <w:t xml:space="preserve">hundreds of randomized inputs, that six protocol-defined domains never</w:t>
      </w:r>
      <w:r>
        <w:t xml:space="preserve"> </w:t>
      </w:r>
      <w:r>
        <w:t xml:space="preserve">collide for the same payload.</w:t>
      </w:r>
    </w:p>
    <w:bookmarkEnd w:id="36"/>
    <w:bookmarkStart w:id="37" w:name="transcript-binding"/>
    <w:p>
      <w:pPr>
        <w:pStyle w:val="Heading2"/>
      </w:pPr>
      <w:r>
        <w:t xml:space="preserve">5.2 Transcript binding</w:t>
      </w:r>
    </w:p>
    <w:p>
      <w:pPr>
        <w:pStyle w:val="FirstParagraph"/>
      </w:pPr>
      <w:r>
        <w:t xml:space="preserve">The client’s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message signs not a static challenge value but a</w:t>
      </w:r>
      <w:r>
        <w:t xml:space="preserve"> </w:t>
      </w:r>
      <w:r>
        <w:t xml:space="preserve">hash of the entire handshake transcript so far:</w:t>
      </w:r>
    </w:p>
    <w:p>
      <w:pPr>
        <w:pStyle w:val="SourceCode"/>
      </w:pPr>
      <w:r>
        <w:rPr>
          <w:rStyle w:val="VerbatimChar"/>
        </w:rPr>
        <w:t xml:space="preserve">H_transcript = H( "IDP-TRANSCRIPT-v1" || HELLO || CHALLENGE || ENTROPY || IDENTITY_ACK )</w:t>
      </w:r>
    </w:p>
    <w:p>
      <w:pPr>
        <w:pStyle w:val="FirstParagraph"/>
      </w:pPr>
      <w:r>
        <w:t xml:space="preserve">using RFC 8785 JSON Canonicalization Scheme (JCS) [RFC8785] byte</w:t>
      </w:r>
      <w:r>
        <w:t xml:space="preserve"> </w:t>
      </w:r>
      <w:r>
        <w:t xml:space="preserve">serialization. This binds the proof to the specific server nonce, the</w:t>
      </w:r>
      <w:r>
        <w:t xml:space="preserve"> </w:t>
      </w:r>
      <w:r>
        <w:t xml:space="preserve">specific Identity Vector digest the server computed, and the specific</w:t>
      </w:r>
      <w:r>
        <w:t xml:space="preserve"> </w:t>
      </w:r>
      <w:r>
        <w:t xml:space="preserve">entropy submission — a captured, valid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cannot be replayed</w:t>
      </w:r>
      <w:r>
        <w:t xml:space="preserve"> </w:t>
      </w:r>
      <w:r>
        <w:t xml:space="preserve">against a different</w:t>
      </w:r>
      <w:r>
        <w:t xml:space="preserve"> </w:t>
      </w:r>
      <w:r>
        <w:rPr>
          <w:rStyle w:val="VerbatimChar"/>
        </w:rPr>
        <w:t xml:space="preserve">CHALLENGE</w:t>
      </w:r>
      <w:r>
        <w:t xml:space="preserve"> </w:t>
      </w:r>
      <w:r>
        <w:t xml:space="preserve">(a fresh server nonce invalidates the</w:t>
      </w:r>
      <w:r>
        <w:t xml:space="preserve"> </w:t>
      </w:r>
      <w:r>
        <w:t xml:space="preserve">old transcript hash), closing the class of replay attack that a</w:t>
      </w:r>
      <w:r>
        <w:t xml:space="preserve"> </w:t>
      </w:r>
      <w:r>
        <w:t xml:space="preserve">static-challenge design would remain vulnerable to.</w:t>
      </w:r>
    </w:p>
    <w:bookmarkEnd w:id="37"/>
    <w:bookmarkStart w:id="38" w:name="what-idp-deliberately-does-not-provide"/>
    <w:p>
      <w:pPr>
        <w:pStyle w:val="Heading2"/>
      </w:pPr>
      <w:r>
        <w:t xml:space="preserve">5.3 What IDP deliberately does not provide</w:t>
      </w:r>
    </w:p>
    <w:p>
      <w:pPr>
        <w:pStyle w:val="FirstParagraph"/>
      </w:pPr>
      <w:r>
        <w:t xml:space="preserve">IDP provides no confidentiality of its own and explicitly assumes TLS</w:t>
      </w:r>
      <w:r>
        <w:t xml:space="preserve"> </w:t>
      </w:r>
      <w:r>
        <w:t xml:space="preserve">1.3 for the wire (RFC-0001 §1, a MUST). It provides no post-quantum</w:t>
      </w:r>
      <w:r>
        <w:t xml:space="preserve"> </w:t>
      </w:r>
      <w:r>
        <w:t xml:space="preserve">resistance — Ed25519/X25519 are both classical-only constructions, and</w:t>
      </w:r>
      <w:r>
        <w:t xml:space="preserve"> </w:t>
      </w:r>
      <w:r>
        <w:t xml:space="preserve">a post-quantum-hybrid cipher suite is out of scope for this draft</w:t>
      </w:r>
      <w:r>
        <w:t xml:space="preserve"> </w:t>
      </w:r>
      <w:r>
        <w:t xml:space="preserve">(§12.1). It provides no protection against real-time relay/adversary-</w:t>
      </w:r>
      <w:r>
        <w:t xml:space="preserve"> </w:t>
      </w:r>
      <w:r>
        <w:t xml:space="preserve">in-the-middle (AiTM) phishing proxies beyond what TLS channel binding</w:t>
      </w:r>
      <w:r>
        <w:t xml:space="preserve"> </w:t>
      </w:r>
      <w:r>
        <w:t xml:space="preserve">(RFC 9266 [RFC9266]) would add if implemented, which the reference</w:t>
      </w:r>
      <w:r>
        <w:t xml:space="preserve"> </w:t>
      </w:r>
      <w:r>
        <w:t xml:space="preserve">implementation currently does not (§10.2). These are documented as</w:t>
      </w:r>
      <w:r>
        <w:t xml:space="preserve"> </w:t>
      </w:r>
      <w:r>
        <w:t xml:space="preserve">explicit residual risks in §10, not omitted from discussion.</w:t>
      </w:r>
    </w:p>
    <w:bookmarkEnd w:id="38"/>
    <w:bookmarkEnd w:id="39"/>
    <w:bookmarkStart w:id="43" w:name="privacy-by-design-entropy-collection"/>
    <w:p>
      <w:pPr>
        <w:pStyle w:val="Heading1"/>
      </w:pPr>
      <w:r>
        <w:t xml:space="preserve">6. Privacy-by-Design Entropy Collection</w:t>
      </w:r>
    </w:p>
    <w:p>
      <w:pPr>
        <w:pStyle w:val="FirstParagraph"/>
      </w:pPr>
      <w:r>
        <w:t xml:space="preserve">RFC-0001 §10 is unusual among protocol specifications in being</w:t>
      </w:r>
      <w:r>
        <w:t xml:space="preserve"> </w:t>
      </w:r>
      <w:r>
        <w:t xml:space="preserve">normative on data-minimization, not merely on wire format. This section</w:t>
      </w:r>
      <w:r>
        <w:t xml:space="preserve"> </w:t>
      </w:r>
      <w:r>
        <w:t xml:space="preserve">describes how that normative text is enforced in the reference</w:t>
      </w:r>
      <w:r>
        <w:t xml:space="preserve"> </w:t>
      </w:r>
      <w:r>
        <w:t xml:space="preserve">implementation, because a privacy constraint stated only in prose and</w:t>
      </w:r>
      <w:r>
        <w:t xml:space="preserve"> </w:t>
      </w:r>
      <w:r>
        <w:t xml:space="preserve">not enforced in code is not a real constraint.</w:t>
      </w:r>
    </w:p>
    <w:bookmarkStart w:id="40" w:name="the-allow-list-mechanism"/>
    <w:p>
      <w:pPr>
        <w:pStyle w:val="Heading2"/>
      </w:pPr>
      <w:r>
        <w:t xml:space="preserve">6.1 The allow-list mechanism</w:t>
      </w:r>
    </w:p>
    <w:p>
      <w:pPr>
        <w:pStyle w:val="FirstParagraph"/>
      </w:pPr>
      <w:r>
        <w:t xml:space="preserve">The entropy-normalization module accepts a raw device-signal dictionary</w:t>
      </w:r>
      <w:r>
        <w:t xml:space="preserve"> </w:t>
      </w:r>
      <w:r>
        <w:t xml:space="preserve">but only ever reads seven explicitly allow-listed, pre-bucketed fields</w:t>
      </w:r>
      <w:r>
        <w:t xml:space="preserve"> </w:t>
      </w:r>
      <w:r>
        <w:t xml:space="preserve">(coarse OS family, bucketed screen-resolution class, timezone offset,</w:t>
      </w:r>
      <w:r>
        <w:t xml:space="preserve"> </w:t>
      </w:r>
      <w:r>
        <w:t xml:space="preserve">language, bucketed color depth, bucketed CPU core-count class, and GPU</w:t>
      </w:r>
      <w:r>
        <w:t xml:space="preserve"> </w:t>
      </w:r>
      <w:r>
        <w:rPr>
          <w:iCs/>
          <w:i/>
        </w:rPr>
        <w:t xml:space="preserve">vendor</w:t>
      </w:r>
      <w:r>
        <w:t xml:space="preserve"> </w:t>
      </w:r>
      <w:r>
        <w:t xml:space="preserve">only — never the full renderer string). Any other key present</w:t>
      </w:r>
      <w:r>
        <w:t xml:space="preserve"> </w:t>
      </w:r>
      <w:r>
        <w:t xml:space="preserve">in the input — including deliberately</w:t>
      </w:r>
      <w:r>
        <w:t xml:space="preserve"> </w:t>
      </w:r>
      <w:r>
        <w:t xml:space="preserve">“</w:t>
      </w:r>
      <w:r>
        <w:t xml:space="preserve">invasive</w:t>
      </w:r>
      <w:r>
        <w:t xml:space="preserve">”</w:t>
      </w:r>
      <w:r>
        <w:t xml:space="preserve"> </w:t>
      </w:r>
      <w:r>
        <w:t xml:space="preserve">fingerprinting fields</w:t>
      </w:r>
      <w:r>
        <w:t xml:space="preserve"> </w:t>
      </w:r>
      <w:r>
        <w:t xml:space="preserve">injected during testing (§8.3) — is silently dropped before hashing.</w:t>
      </w:r>
      <w:r>
        <w:t xml:space="preserve"> </w:t>
      </w:r>
      <w:r>
        <w:t xml:space="preserve">This is enforced structurally (the normalization function iterates the</w:t>
      </w:r>
      <w:r>
        <w:t xml:space="preserve"> </w:t>
      </w:r>
      <w:r>
        <w:t xml:space="preserve">allow-list, not the input), not by validation that could be bypassed by</w:t>
      </w:r>
      <w:r>
        <w:t xml:space="preserve"> </w:t>
      </w:r>
      <w:r>
        <w:t xml:space="preserve">a malformed caller; property-based fuzz testing confirmed this</w:t>
      </w:r>
      <w:r>
        <w:t xml:space="preserve"> </w:t>
      </w:r>
      <w:r>
        <w:t xml:space="preserve">empirically by asserting that adding arbitrary non-allow-listed keys to</w:t>
      </w:r>
      <w:r>
        <w:t xml:space="preserve"> </w:t>
      </w:r>
      <w:r>
        <w:t xml:space="preserve">device input never changes the resulting Identity Vector.</w:t>
      </w:r>
    </w:p>
    <w:bookmarkEnd w:id="40"/>
    <w:bookmarkStart w:id="41" w:name="X9392a56e20ed4f63632606584fb69ebc0cb265c"/>
    <w:p>
      <w:pPr>
        <w:pStyle w:val="Heading2"/>
      </w:pPr>
      <w:r>
        <w:t xml:space="preserve">6.2 Consent gating and per-relying-party salting</w:t>
      </w:r>
    </w:p>
    <w:p>
      <w:pPr>
        <w:pStyle w:val="FirstParagraph"/>
      </w:pPr>
      <w:r>
        <w:t xml:space="preserve">Device signal collection requires a valid, unexpired, revocable consent</w:t>
      </w:r>
      <w:r>
        <w:t xml:space="preserve"> </w:t>
      </w:r>
      <w:r>
        <w:t xml:space="preserve">receipt (RFC-0001 §4.3, §10.2); its absence is a registered protocol</w:t>
      </w:r>
      <w:r>
        <w:t xml:space="preserve"> </w:t>
      </w:r>
      <w:r>
        <w:t xml:space="preserve">error (</w:t>
      </w:r>
      <w:r>
        <w:rPr>
          <w:rStyle w:val="VerbatimChar"/>
        </w:rPr>
        <w:t xml:space="preserve">ERR_CONSENT_MISSING</w:t>
      </w:r>
      <w:r>
        <w:t xml:space="preserve">), not a silent default-allow. The</w:t>
      </w:r>
      <w:r>
        <w:t xml:space="preserve"> </w:t>
      </w:r>
      <w:r>
        <w:t xml:space="preserve">normalization function additionally takes a per-Relying-Party salt,</w:t>
      </w:r>
      <w:r>
        <w:t xml:space="preserve"> </w:t>
      </w:r>
      <w:r>
        <w:t xml:space="preserve">so that even if a server operator were compromised, the same physical</w:t>
      </w:r>
      <w:r>
        <w:t xml:space="preserve"> </w:t>
      </w:r>
      <w:r>
        <w:t xml:space="preserve">device’s hash would not be linkable across two unrelated Relying</w:t>
      </w:r>
      <w:r>
        <w:t xml:space="preserve"> </w:t>
      </w:r>
      <w:r>
        <w:t xml:space="preserve">Parties using the protocol — a mitigation for the insider-threat</w:t>
      </w:r>
      <w:r>
        <w:t xml:space="preserve"> </w:t>
      </w:r>
      <w:r>
        <w:t xml:space="preserve">scenario discussed in §10.7.</w:t>
      </w:r>
    </w:p>
    <w:bookmarkEnd w:id="41"/>
    <w:bookmarkStart w:id="42" w:name="what-is-retained-and-what-is-not"/>
    <w:p>
      <w:pPr>
        <w:pStyle w:val="Heading2"/>
      </w:pPr>
      <w:r>
        <w:t xml:space="preserve">6.3 What is retained, and what is not</w:t>
      </w:r>
    </w:p>
    <w:p>
      <w:pPr>
        <w:pStyle w:val="FirstParagraph"/>
      </w:pPr>
      <w:r>
        <w:t xml:space="preserve">Only the derived, non-reversible Identity Vector and its digest are</w:t>
      </w:r>
      <w:r>
        <w:t xml:space="preserve"> </w:t>
      </w:r>
      <w:r>
        <w:t xml:space="preserve">retained server-side by default; raw device/behavioral/contextual</w:t>
      </w:r>
      <w:r>
        <w:t xml:space="preserve"> </w:t>
      </w:r>
      <w:r>
        <w:t xml:space="preserve">input is discarded immediately after use unless a Relying Party has a</w:t>
      </w:r>
      <w:r>
        <w:t xml:space="preserve"> </w:t>
      </w:r>
      <w:r>
        <w:t xml:space="preserve">separately documented, consented retention policy, which the reference</w:t>
      </w:r>
      <w:r>
        <w:t xml:space="preserve"> </w:t>
      </w:r>
      <w:r>
        <w:t xml:space="preserve">implementation does not provide a mechanism for (deliberately — the</w:t>
      </w:r>
      <w:r>
        <w:t xml:space="preserve"> </w:t>
      </w:r>
      <w:r>
        <w:t xml:space="preserve">default is zero retention, and adding retention is a positive action a</w:t>
      </w:r>
      <w:r>
        <w:t xml:space="preserve"> </w:t>
      </w:r>
      <w:r>
        <w:t xml:space="preserve">deployer would need to build, not a switch to flip off).</w:t>
      </w:r>
    </w:p>
    <w:bookmarkEnd w:id="42"/>
    <w:bookmarkEnd w:id="43"/>
    <w:bookmarkStart w:id="45" w:name="reference-implementation-architecture"/>
    <w:p>
      <w:pPr>
        <w:pStyle w:val="Heading1"/>
      </w:pPr>
      <w:r>
        <w:t xml:space="preserve">7. Reference Implementation Architecture</w:t>
      </w:r>
    </w:p>
    <w:p>
      <w:pPr>
        <w:pStyle w:val="FirstParagraph"/>
      </w:pPr>
      <w:r>
        <w:t xml:space="preserve">The reference implementation comprises two independently-written</w:t>
      </w:r>
      <w:r>
        <w:t xml:space="preserve"> </w:t>
      </w:r>
      <w:r>
        <w:t xml:space="preserve">codebases: a Python implementation (</w:t>
      </w:r>
      <w:r>
        <w:rPr>
          <w:rStyle w:val="VerbatimChar"/>
        </w:rPr>
        <w:t xml:space="preserve">reference/</w:t>
      </w:r>
      <w:r>
        <w:t xml:space="preserve">, 1,876 lines across</w:t>
      </w:r>
      <w:r>
        <w:t xml:space="preserve"> </w:t>
      </w:r>
      <w:r>
        <w:t xml:space="preserve">26 modules) serving as the primary specification-validating</w:t>
      </w:r>
      <w:r>
        <w:t xml:space="preserve"> </w:t>
      </w:r>
      <w:r>
        <w:t xml:space="preserve">implementation and REST server, and a TypeScript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sdk/javascript/</w:t>
      </w:r>
      <w:r>
        <w:t xml:space="preserve">, 776 lines) serving as an interoperability-proving</w:t>
      </w:r>
      <w:r>
        <w:t xml:space="preserve"> </w:t>
      </w:r>
      <w:r>
        <w:t xml:space="preserve">client SDK (§9). Both are organized around the same module boundaries,</w:t>
      </w:r>
      <w:r>
        <w:t xml:space="preserve"> </w:t>
      </w:r>
      <w:r>
        <w:t xml:space="preserve">intentionally, so the two remain easy to cross-reference (Table 3).</w:t>
      </w:r>
    </w:p>
    <w:p>
      <w:pPr>
        <w:pStyle w:val="BodyText"/>
      </w:pPr>
      <w:r>
        <w:rPr>
          <w:bCs/>
          <w:b/>
        </w:rPr>
        <w:t xml:space="preserve">Table 3: Reference module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RFC-0001 §11 primitive wrappers (hashing, signatures, ECDH, HKDF, AEAD, CSPRNG)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entropy-engine/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Device/behavior/context normalization and Device DNA hashing 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identity-engine/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Vector compilation, cross-session identity streams, consent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trust-engine/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Score computation: weights, history, risk rules, policy thresholds,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session-engine/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DNA generation, rotation, expiration, validation,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handshake orchestration and state machine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handshake message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SQLite-backed persistence for subject baselines and trust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REST surface exposing the protocol over HTTP</w:t>
            </w:r>
          </w:p>
        </w:tc>
      </w:tr>
    </w:tbl>
    <w:bookmarkStart w:id="44" w:name="X0c6080b5ba6d85503b64a8b3a8eacc59a1c14b5"/>
    <w:p>
      <w:pPr>
        <w:pStyle w:val="Heading2"/>
      </w:pPr>
      <w:r>
        <w:t xml:space="preserve">7.1 A design note on statelessness and the cold-start problem</w:t>
      </w:r>
    </w:p>
    <w:p>
      <w:pPr>
        <w:pStyle w:val="FirstParagraph"/>
      </w:pPr>
      <w:r>
        <w:t xml:space="preserve">An architectural property worth surfacing explicitly, because it is</w:t>
      </w:r>
      <w:r>
        <w:t xml:space="preserve"> </w:t>
      </w:r>
      <w:r>
        <w:t xml:space="preserve">the root cause of the deadlock bug discussed in §8.1: the Trust Score</w:t>
      </w:r>
      <w:r>
        <w:t xml:space="preserve"> </w:t>
      </w:r>
      <w:r>
        <w:t xml:space="preserve">function is</w:t>
      </w:r>
      <w:r>
        <w:t xml:space="preserve"> </w:t>
      </w:r>
      <w:r>
        <w:rPr>
          <w:iCs/>
          <w:i/>
        </w:rPr>
        <w:t xml:space="preserve">pure</w:t>
      </w:r>
      <w:r>
        <w:t xml:space="preserve"> </w:t>
      </w:r>
      <w:r>
        <w:t xml:space="preserve">with respect to its inputs (identity distance,</w:t>
      </w:r>
      <w:r>
        <w:t xml:space="preserve"> </w:t>
      </w:r>
      <w:r>
        <w:t xml:space="preserve">n_eff, history, context priors, risk context) — it has no</w:t>
      </w:r>
      <w:r>
        <w:t xml:space="preserve"> </w:t>
      </w:r>
      <w:r>
        <w:t xml:space="preserve">hidden state and is independently unit-testable — but the</w:t>
      </w:r>
      <w:r>
        <w:t xml:space="preserve"> </w:t>
      </w:r>
      <w:r>
        <w:rPr>
          <w:iCs/>
          <w:i/>
        </w:rPr>
        <w:t xml:space="preserve">system</w:t>
      </w:r>
      <w:r>
        <w:t xml:space="preserve"> </w:t>
      </w:r>
      <w:r>
        <w:t xml:space="preserve">built around it (the Gateway orchestration layer, §3.2) is</w:t>
      </w:r>
      <w:r>
        <w:t xml:space="preserve"> </w:t>
      </w:r>
      <w:r>
        <w:t xml:space="preserve">fundamentally stateful, since S_history and identity</w:t>
      </w:r>
      <w:r>
        <w:t xml:space="preserve"> </w:t>
      </w:r>
      <w:r>
        <w:t xml:space="preserve">distance both depend on what happened in</w:t>
      </w:r>
      <w:r>
        <w:t xml:space="preserve"> </w:t>
      </w:r>
      <w:r>
        <w:rPr>
          <w:iCs/>
          <w:i/>
        </w:rPr>
        <w:t xml:space="preserve">previous</w:t>
      </w:r>
      <w:r>
        <w:t xml:space="preserve"> </w:t>
      </w:r>
      <w:r>
        <w:t xml:space="preserve">sessions for the</w:t>
      </w:r>
      <w:r>
        <w:t xml:space="preserve"> </w:t>
      </w:r>
      <w:r>
        <w:t xml:space="preserve">same subject. This split between a pure scoring function and a</w:t>
      </w:r>
      <w:r>
        <w:t xml:space="preserve"> </w:t>
      </w:r>
      <w:r>
        <w:t xml:space="preserve">stateful orchestration layer is deliberate (it is what makes §4.3’s</w:t>
      </w:r>
      <w:r>
        <w:t xml:space="preserve"> </w:t>
      </w:r>
      <w:r>
        <w:t xml:space="preserve">worked example unit-testable in isolation), but it means that</w:t>
      </w:r>
      <w:r>
        <w:t xml:space="preserve"> </w:t>
      </w:r>
      <w:r>
        <w:t xml:space="preserve">correctness bugs in this system are not fully visible from unit-testing</w:t>
      </w:r>
      <w:r>
        <w:t xml:space="preserve"> </w:t>
      </w:r>
      <w:r>
        <w:t xml:space="preserve">the scoring function alone — they require testing the</w:t>
      </w:r>
      <w:r>
        <w:t xml:space="preserve"> </w:t>
      </w:r>
      <w:r>
        <w:rPr>
          <w:iCs/>
          <w:i/>
        </w:rPr>
        <w:t xml:space="preserve">sequence</w:t>
      </w:r>
      <w:r>
        <w:t xml:space="preserve"> </w:t>
      </w:r>
      <w:r>
        <w:t xml:space="preserve">of</w:t>
      </w:r>
      <w:r>
        <w:t xml:space="preserve"> </w:t>
      </w:r>
      <w:r>
        <w:t xml:space="preserve">sessions a real subject would experience, which is precisely the kind</w:t>
      </w:r>
      <w:r>
        <w:t xml:space="preserve"> </w:t>
      </w:r>
      <w:r>
        <w:t xml:space="preserve">of bug property-based and persistence-layer testing surfaced (§8) that</w:t>
      </w:r>
      <w:r>
        <w:t xml:space="preserve"> </w:t>
      </w:r>
      <w:r>
        <w:t xml:space="preserve">a single-session unit test could not have.</w:t>
      </w:r>
      <w:r>
        <w:t xml:space="preserve"> </w:t>
      </w:r>
    </w:p>
    <w:bookmarkEnd w:id="44"/>
    <w:bookmarkEnd w:id="45"/>
    <w:bookmarkStart w:id="50" w:name="Xa246f37cff47d804a93bcade36e70c001945d88"/>
    <w:p>
      <w:pPr>
        <w:pStyle w:val="Heading1"/>
      </w:pPr>
      <w:r>
        <w:t xml:space="preserve">8. Engineering Validation: Property-Based Testing</w:t>
      </w:r>
    </w:p>
    <w:p>
      <w:pPr>
        <w:pStyle w:val="FirstParagraph"/>
      </w:pPr>
      <w:r>
        <w:t xml:space="preserve">A specification’s formulas can be internally consistent and still be</w:t>
      </w:r>
      <w:r>
        <w:t xml:space="preserve"> </w:t>
      </w:r>
      <w:r>
        <w:t xml:space="preserve">wrong in ways that only manifest across many interacting components or</w:t>
      </w:r>
      <w:r>
        <w:t xml:space="preserve"> </w:t>
      </w:r>
      <w:r>
        <w:t xml:space="preserve">many repeated invocations — the class of defect example-based unit</w:t>
      </w:r>
      <w:r>
        <w:t xml:space="preserve"> </w:t>
      </w:r>
      <w:r>
        <w:t xml:space="preserve">testing, which by construction only exercises the cases its author</w:t>
      </w:r>
      <w:r>
        <w:t xml:space="preserve"> </w:t>
      </w:r>
      <w:r>
        <w:t xml:space="preserve">thought to write, is least likely to catch. This section reports, in</w:t>
      </w:r>
      <w:r>
        <w:t xml:space="preserve"> </w:t>
      </w:r>
      <w:r>
        <w:t xml:space="preserve">full, three defects found during the development of this reference</w:t>
      </w:r>
      <w:r>
        <w:t xml:space="preserve"> </w:t>
      </w:r>
      <w:r>
        <w:t xml:space="preserve">implementation, the process that found each one, and the fix. We</w:t>
      </w:r>
      <w:r>
        <w:t xml:space="preserve"> </w:t>
      </w:r>
      <w:r>
        <w:t xml:space="preserve">consider this section, not the absence of reported defects, to be the</w:t>
      </w:r>
      <w:r>
        <w:t xml:space="preserve"> </w:t>
      </w:r>
      <w:r>
        <w:t xml:space="preserve">paper’s strongest evidence for the model’s current correctness: a</w:t>
      </w:r>
      <w:r>
        <w:t xml:space="preserve"> </w:t>
      </w:r>
      <w:r>
        <w:t xml:space="preserve">formal model whose authors report no defects either had none (unlikely</w:t>
      </w:r>
      <w:r>
        <w:t xml:space="preserve"> </w:t>
      </w:r>
      <w:r>
        <w:t xml:space="preserve">for a first draft of this complexity) or was not tested adversarially</w:t>
      </w:r>
      <w:r>
        <w:t xml:space="preserve"> </w:t>
      </w:r>
      <w:r>
        <w:t xml:space="preserve">enough to find them.</w:t>
      </w:r>
    </w:p>
    <w:bookmarkStart w:id="46" w:name="defect-1-the-s_identity-scaling-bug"/>
    <w:p>
      <w:pPr>
        <w:pStyle w:val="Heading2"/>
      </w:pPr>
      <w:r>
        <w:t xml:space="preserve">8.1 Defect 1: the S_identity scaling bug</w:t>
      </w:r>
    </w:p>
    <w:p>
      <w:pPr>
        <w:pStyle w:val="FirstParagraph"/>
      </w:pPr>
      <w:r>
        <w:rPr>
          <w:bCs/>
          <w:b/>
        </w:rPr>
        <w:t xml:space="preserve">Symptom.</w:t>
      </w:r>
      <w:r>
        <w:t xml:space="preserve"> </w:t>
      </w:r>
      <w:r>
        <w:t xml:space="preserve">During manual testing of the SQLite persistence layer</w:t>
      </w:r>
      <w:r>
        <w:t xml:space="preserve"> </w:t>
      </w:r>
      <w:r>
        <w:t xml:space="preserve">(§7), a subject’s Trust Score was observed to not increase across</w:t>
      </w:r>
      <w:r>
        <w:t xml:space="preserve"> </w:t>
      </w:r>
      <w:r>
        <w:t xml:space="preserve">repeated legitimate sessions from the same, now-recognized device —</w:t>
      </w:r>
      <w:r>
        <w:t xml:space="preserve"> </w:t>
      </w:r>
      <w:r>
        <w:t xml:space="preserve">contrary to the model’s stated intent (§4.3).</w:t>
      </w:r>
    </w:p>
    <w:p>
      <w:pPr>
        <w:pStyle w:val="BodyText"/>
      </w:pPr>
      <w:r>
        <w:rPr>
          <w:bCs/>
          <w:b/>
        </w:rPr>
        <w:t xml:space="preserve">Root cause.</w:t>
      </w:r>
      <w:r>
        <w:t xml:space="preserve"> </w:t>
      </w:r>
      <w:r>
        <w:t xml:space="preserve">The original formula,</w:t>
      </w:r>
      <w:r>
        <w:t xml:space="preserve"> </w:t>
      </w:r>
      <w:r>
        <w:t xml:space="preserve">S_identity = 100 · (1−d)/2 · confidence,</w:t>
      </w:r>
      <w:r>
        <w:t xml:space="preserve"> </w:t>
      </w:r>
      <w:r>
        <w:t xml:space="preserve">has a maximum value of 50·confidence at d=0 (a</w:t>
      </w:r>
      <w:r>
        <w:t xml:space="preserve"> </w:t>
      </w:r>
      <w:r>
        <w:rPr>
          <w:iCs/>
          <w:i/>
        </w:rPr>
        <w:t xml:space="preserve">perfect</w:t>
      </w:r>
      <w:r>
        <w:t xml:space="preserve"> </w:t>
      </w:r>
      <w:r>
        <w:t xml:space="preserve">match) — the same value the</w:t>
      </w:r>
      <w:r>
        <w:t xml:space="preserve"> </w:t>
      </w:r>
      <w:r>
        <w:t xml:space="preserve">“</w:t>
      </w:r>
      <w:r>
        <w:t xml:space="preserve">no baseline yet</w:t>
      </w:r>
      <w:r>
        <w:t xml:space="preserve">”</w:t>
      </w:r>
      <w:r>
        <w:t xml:space="preserve"> </w:t>
      </w:r>
      <w:r>
        <w:t xml:space="preserve">default case</w:t>
      </w:r>
      <w:r>
        <w:t xml:space="preserve"> </w:t>
      </w:r>
      <w:r>
        <w:t xml:space="preserve">was assigned. A fully-recognized returning device therefore scored</w:t>
      </w:r>
      <w:r>
        <w:t xml:space="preserve"> </w:t>
      </w:r>
      <w:r>
        <w:t xml:space="preserve">identically to a completely unknown first-time device: the formula’s</w:t>
      </w:r>
      <w:r>
        <w:t xml:space="preserve"> </w:t>
      </w:r>
      <w:r>
        <w:t xml:space="preserve">own algebra capped the reward for recognition at exactly the level of</w:t>
      </w:r>
      <w:r>
        <w:t xml:space="preserve"> </w:t>
      </w:r>
      <w:r>
        <w:t xml:space="preserve">having no information at all.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Corrected to S_identity = 100 · (1 − d/2) · confidence (§4.2), which spans the full</w:t>
      </w:r>
      <w:r>
        <w:t xml:space="preserve"> </w:t>
      </w:r>
      <w:r>
        <w:t xml:space="preserve">[0, 100·confidence] range and treats d=1 (not d=0)</w:t>
      </w:r>
      <w:r>
        <w:t xml:space="preserve"> </w:t>
      </w:r>
      <w:r>
        <w:t xml:space="preserve">as the neutral/no-information point — a principled choice, since</w:t>
      </w:r>
      <w:r>
        <w:t xml:space="preserve"> </w:t>
      </w:r>
      <w:r>
        <w:t xml:space="preserve">d=1 corresponds to orthogonal (uncorrelated) vectors, the natural</w:t>
      </w:r>
      <w:r>
        <w:t xml:space="preserve"> </w:t>
      </w:r>
      <w:r>
        <w:t xml:space="preserve">mathematical representation of</w:t>
      </w:r>
      <w:r>
        <w:t xml:space="preserve"> </w:t>
      </w:r>
      <w:r>
        <w:t xml:space="preserve">“</w:t>
      </w:r>
      <w:r>
        <w:t xml:space="preserve">no information,</w:t>
      </w:r>
      <w:r>
        <w:t xml:space="preserve">”</w:t>
      </w:r>
      <w:r>
        <w:t xml:space="preserve"> </w:t>
      </w:r>
      <w:r>
        <w:t xml:space="preserve">rather than an</w:t>
      </w:r>
      <w:r>
        <w:t xml:space="preserve"> </w:t>
      </w:r>
      <w:r>
        <w:t xml:space="preserve">arbitrary constant.</w:t>
      </w:r>
    </w:p>
    <w:bookmarkEnd w:id="46"/>
    <w:bookmarkStart w:id="47" w:name="defect-2-the-history-score-deadlock"/>
    <w:p>
      <w:pPr>
        <w:pStyle w:val="Heading2"/>
      </w:pPr>
      <w:r>
        <w:t xml:space="preserve">8.2 Defect 2: the history-score deadlock</w:t>
      </w:r>
    </w:p>
    <w:p>
      <w:pPr>
        <w:pStyle w:val="FirstParagraph"/>
      </w:pPr>
      <w:r>
        <w:rPr>
          <w:bCs/>
          <w:b/>
        </w:rPr>
        <w:t xml:space="preserve">Symptom.</w:t>
      </w:r>
      <w:r>
        <w:t xml:space="preserve"> </w:t>
      </w:r>
      <w:r>
        <w:t xml:space="preserve">After fixing Defect 1, repeated sessions from a</w:t>
      </w:r>
      <w:r>
        <w:t xml:space="preserve"> </w:t>
      </w:r>
      <w:r>
        <w:t xml:space="preserve">recognized device still failed to progress past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Root cause.</w:t>
      </w:r>
      <w:r>
        <w:t xml:space="preserve"> </w:t>
      </w:r>
      <w:r>
        <w:t xml:space="preserve">The original history definition counted</w:t>
      </w:r>
      <w:r>
        <w:t xml:space="preserve"> </w:t>
      </w:r>
      <w:r>
        <w:t xml:space="preserve">match(t−k)=1 only for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outcomes, treating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 </w:t>
      </w:r>
      <w:r>
        <w:t xml:space="preserve">as a history failure. But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requires a reasonable</w:t>
      </w:r>
      <w:r>
        <w:t xml:space="preserve"> </w:t>
      </w:r>
      <w:r>
        <w:t xml:space="preserve">S_history, and a first-ever session (no baseline) can score</w:t>
      </w:r>
      <w:r>
        <w:t xml:space="preserve"> </w:t>
      </w:r>
      <w:r>
        <w:t xml:space="preserve">no higher than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 </w:t>
      </w:r>
      <w:r>
        <w:t xml:space="preserve">even under the corrected Defect-1 formula —</w:t>
      </w:r>
      <w:r>
        <w:t xml:space="preserve"> </w:t>
      </w:r>
      <w:r>
        <w:t xml:space="preserve">producing a structural deadlock in which no subject could ever</w:t>
      </w:r>
      <w:r>
        <w:t xml:space="preserve"> </w:t>
      </w:r>
      <w:r>
        <w:t xml:space="preserve">accumulate the history needed to ever reach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. This defect was</w:t>
      </w:r>
      <w:r>
        <w:t xml:space="preserve"> </w:t>
      </w:r>
      <w:r>
        <w:t xml:space="preserve">invisible to unit tests of the scoring function in isolation (§7.1)</w:t>
      </w:r>
      <w:r>
        <w:t xml:space="preserve"> </w:t>
      </w:r>
      <w:r>
        <w:t xml:space="preserve">because it only manifests across a</w:t>
      </w:r>
      <w:r>
        <w:t xml:space="preserve"> </w:t>
      </w:r>
      <w:r>
        <w:rPr>
          <w:iCs/>
          <w:i/>
        </w:rPr>
        <w:t xml:space="preserve">sequence</w:t>
      </w:r>
      <w:r>
        <w:t xml:space="preserve"> </w:t>
      </w:r>
      <w:r>
        <w:t xml:space="preserve">of sessions, which no</w:t>
      </w:r>
      <w:r>
        <w:t xml:space="preserve"> </w:t>
      </w:r>
      <w:r>
        <w:t xml:space="preserve">single-session unit test exercises.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Redefined match(t−k)=1 for decisions in</w:t>
      </w:r>
      <w:r>
        <w:t xml:space="preserve"> </w:t>
      </w:r>
      <w:r>
        <w:t xml:space="preserve">{ALLOW, STEP_UP} (§4.2), and excluded a subject’s</w:t>
      </w:r>
      <w:r>
        <w:t xml:space="preserve"> </w:t>
      </w:r>
      <w:r>
        <w:t xml:space="preserve">first-ever (no-baseline) session from history recording entirely,</w:t>
      </w:r>
      <w:r>
        <w:t xml:space="preserve"> </w:t>
      </w:r>
      <w:r>
        <w:t xml:space="preserve">since it is not yet a meaningful judgment of identity consistency. A</w:t>
      </w:r>
      <w:r>
        <w:t xml:space="preserve"> </w:t>
      </w:r>
      <w:r>
        <w:t xml:space="preserve">regression test (</w:t>
      </w:r>
      <w:r>
        <w:rPr>
          <w:rStyle w:val="VerbatimChar"/>
        </w:rPr>
        <w:t xml:space="preserve">test_trust_score_improves_across_repeated_sessions_same_device</w:t>
      </w:r>
      <w:r>
        <w:t xml:space="preserve">)</w:t>
      </w:r>
      <w:r>
        <w:t xml:space="preserve"> </w:t>
      </w:r>
      <w:r>
        <w:t xml:space="preserve">now asserts this progression explicitly using the persistence layer</w:t>
      </w:r>
      <w:r>
        <w:t xml:space="preserve"> </w:t>
      </w:r>
      <w:r>
        <w:t xml:space="preserve">across four consecutive simulated sessions, rather than only asserting</w:t>
      </w:r>
      <w:r>
        <w:t xml:space="preserve"> </w:t>
      </w:r>
      <w:r>
        <w:t xml:space="preserve">a single session’s output in isolation.</w:t>
      </w:r>
    </w:p>
    <w:bookmarkEnd w:id="47"/>
    <w:bookmarkStart w:id="48" w:name="X577c939cc972d84745cc23452a743ab295910e2"/>
    <w:p>
      <w:pPr>
        <w:pStyle w:val="Heading2"/>
      </w:pPr>
      <w:r>
        <w:t xml:space="preserve">8.3 Defect 3: unauthenticated remote denial-of-service via malformed entropy</w:t>
      </w:r>
    </w:p>
    <w:p>
      <w:pPr>
        <w:pStyle w:val="FirstParagraph"/>
      </w:pPr>
      <w:r>
        <w:t xml:space="preserve">This is the most operationally significant defect found, and the one</w:t>
      </w:r>
      <w:r>
        <w:t xml:space="preserve"> </w:t>
      </w:r>
      <w:r>
        <w:t xml:space="preserve">we consider the strongest argument for property-based testing of</w:t>
      </w:r>
      <w:r>
        <w:t xml:space="preserve"> </w:t>
      </w:r>
      <w:r>
        <w:t xml:space="preserve">security-relevant code specifically.</w:t>
      </w:r>
    </w:p>
    <w:p>
      <w:pPr>
        <w:pStyle w:val="BodyText"/>
      </w:pPr>
      <w:r>
        <w:rPr>
          <w:bCs/>
          <w:b/>
        </w:rPr>
        <w:t xml:space="preserve">Discovery.</w:t>
      </w:r>
      <w:r>
        <w:t xml:space="preserve"> </w:t>
      </w:r>
      <w:r>
        <w:t xml:space="preserve">A property-based test (</w:t>
      </w:r>
      <w:r>
        <w:rPr>
          <w:rStyle w:val="VerbatimChar"/>
        </w:rPr>
        <w:t xml:space="preserve">test_identity_properties.py</w:t>
      </w:r>
      <w:r>
        <w:t xml:space="preserve">,</w:t>
      </w:r>
      <w:r>
        <w:t xml:space="preserve"> </w:t>
      </w:r>
      <w:r>
        <w:t xml:space="preserve">using the Hypothesis framework [MacIver2019]) generates randomized</w:t>
      </w:r>
      <w:r>
        <w:t xml:space="preserve"> </w:t>
      </w:r>
      <w:r>
        <w:t xml:space="preserve">device/behavior/context dictionaries — including wrong-typed values</w:t>
      </w:r>
      <w:r>
        <w:t xml:space="preserve"> </w:t>
      </w:r>
      <w:r>
        <w:t xml:space="preserve">for every field, a standard fuzzing strategy for defensive-coding</w:t>
      </w:r>
      <w:r>
        <w:t xml:space="preserve"> </w:t>
      </w:r>
      <w:r>
        <w:t xml:space="preserve">verification — and asserts that Identity Vector compilation never</w:t>
      </w:r>
      <w:r>
        <w:t xml:space="preserve"> </w:t>
      </w:r>
      <w:r>
        <w:t xml:space="preserve">raises an unhandled exception for any input, only ever the specific,</w:t>
      </w:r>
      <w:r>
        <w:t xml:space="preserve"> </w:t>
      </w:r>
      <w:r>
        <w:t xml:space="preserve">typed</w:t>
      </w:r>
      <w:r>
        <w:t xml:space="preserve"> </w:t>
      </w:r>
      <w:r>
        <w:rPr>
          <w:rStyle w:val="VerbatimChar"/>
        </w:rPr>
        <w:t xml:space="preserve">DegenerateInputError</w:t>
      </w:r>
      <w:r>
        <w:t xml:space="preserve"> </w:t>
      </w:r>
      <w:r>
        <w:t xml:space="preserve">for the one documented degenerate case.</w:t>
      </w:r>
      <w:r>
        <w:t xml:space="preserve"> </w:t>
      </w:r>
      <w:r>
        <w:t xml:space="preserve">Within the first randomized-example run, this test failed with an</w:t>
      </w:r>
      <w:r>
        <w:t xml:space="preserve"> </w:t>
      </w:r>
      <w:r>
        <w:t xml:space="preserve">unhandled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Root cause.</w:t>
      </w:r>
      <w:r>
        <w:t xml:space="preserve"> </w:t>
      </w:r>
      <w:r>
        <w:t xml:space="preserve">The behavioral-signal normalizer computed summary</w:t>
      </w:r>
      <w:r>
        <w:t xml:space="preserve"> </w:t>
      </w:r>
      <w:r>
        <w:t xml:space="preserve">statistics (</w:t>
      </w:r>
      <w:r>
        <w:rPr>
          <w:rStyle w:val="VerbatimChar"/>
        </w:rPr>
        <w:t xml:space="preserve">sum(cadence) / len(cadence)</w:t>
      </w:r>
      <w:r>
        <w:t xml:space="preserve">) assuming</w:t>
      </w:r>
      <w:r>
        <w:t xml:space="preserve"> </w:t>
      </w:r>
      <w:r>
        <w:rPr>
          <w:rStyle w:val="VerbatimChar"/>
        </w:rPr>
        <w:t xml:space="preserve">typing_cadence_ms</w:t>
      </w:r>
      <w:r>
        <w:t xml:space="preserve"> </w:t>
      </w:r>
      <w:r>
        <w:t xml:space="preserve">was always a list of numbers. A client — malicious</w:t>
      </w:r>
      <w:r>
        <w:t xml:space="preserve"> </w:t>
      </w:r>
      <w:r>
        <w:t xml:space="preserve">or merely buggy — sending this field as a string instead (e.g. the</w:t>
      </w:r>
      <w:r>
        <w:t xml:space="preserve"> </w:t>
      </w:r>
      <w:r>
        <w:t xml:space="preserve">single character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which Python’s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will attempt to iterate</w:t>
      </w:r>
      <w:r>
        <w:t xml:space="preserve"> </w:t>
      </w:r>
      <w:r>
        <w:t xml:space="preserve">and fail on with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) would crash the handler processing the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message. Because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is processed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signature is verified in the protocol’s state machine (§3.2 — this</w:t>
      </w:r>
      <w:r>
        <w:t xml:space="preserve"> </w:t>
      </w:r>
      <w:r>
        <w:t xml:space="preserve">ordering is required by RFC-0001, since the Identity Vector must be</w:t>
      </w:r>
      <w:r>
        <w:t xml:space="preserve"> </w:t>
      </w:r>
      <w:r>
        <w:t xml:space="preserve">computed before the transcript hash it is bound into can be</w:t>
      </w:r>
      <w:r>
        <w:t xml:space="preserve"> </w:t>
      </w:r>
      <w:r>
        <w:t xml:space="preserve">constructed), this crash is triggerable by an entirely unauthenticated</w:t>
      </w:r>
      <w:r>
        <w:t xml:space="preserve"> </w:t>
      </w:r>
      <w:r>
        <w:t xml:space="preserve">client: no valid signing key, no prior legitimate session, and no</w:t>
      </w:r>
      <w:r>
        <w:t xml:space="preserve"> </w:t>
      </w:r>
      <w:r>
        <w:t xml:space="preserve">rate-limiting bypass are required. This is, in standard vulnerability</w:t>
      </w:r>
      <w:r>
        <w:t xml:space="preserve"> </w:t>
      </w:r>
      <w:r>
        <w:t xml:space="preserve">taxonomy, an unauthenticated remote denial-of-service condition against</w:t>
      </w:r>
      <w:r>
        <w:t xml:space="preserve"> </w:t>
      </w:r>
      <w:r>
        <w:t xml:space="preserve">the reference server’s request-handling process.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The normalizer was made defensive/fail-closed: malformed input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typing_cadence_ms</w:t>
      </w:r>
      <w:r>
        <w:t xml:space="preserve"> </w:t>
      </w:r>
      <w:r>
        <w:t xml:space="preserve">(or the timezone-offset field, which had the</w:t>
      </w:r>
      <w:r>
        <w:t xml:space="preserve"> </w:t>
      </w:r>
      <w:r>
        <w:t xml:space="preserve">identical class of bug on a separate code path found by inspection</w:t>
      </w:r>
      <w:r>
        <w:t xml:space="preserve"> </w:t>
      </w:r>
      <w:r>
        <w:t xml:space="preserve">immediately after) now degrades to the empty/neutral case rather than</w:t>
      </w:r>
      <w:r>
        <w:t xml:space="preserve"> </w:t>
      </w:r>
      <w:r>
        <w:t xml:space="preserve">raising, consistent with the protocol’s explicit threat-model premise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 client device is fully untrusted</w:t>
      </w:r>
      <w:r>
        <w:t xml:space="preserve">”</w:t>
      </w:r>
      <w:r>
        <w:t xml:space="preserve"> </w:t>
      </w:r>
      <w:r>
        <w:t xml:space="preserve">(§10) — a premise the</w:t>
      </w:r>
      <w:r>
        <w:t xml:space="preserve"> </w:t>
      </w:r>
      <w:r>
        <w:t xml:space="preserve">original code did not actually honor at this specific code path,</w:t>
      </w:r>
      <w:r>
        <w:t xml:space="preserve"> </w:t>
      </w:r>
      <w:r>
        <w:t xml:space="preserve">despite stating it elsewhere. Regression tests for both the list-typed</w:t>
      </w:r>
      <w:r>
        <w:t xml:space="preserve"> </w:t>
      </w:r>
      <w:r>
        <w:t xml:space="preserve">and numeric-typed malformed cases were added.</w:t>
      </w:r>
    </w:p>
    <w:p>
      <w:pPr>
        <w:pStyle w:val="BodyText"/>
      </w:pPr>
      <w:r>
        <w:rPr>
          <w:bCs/>
          <w:b/>
        </w:rPr>
        <w:t xml:space="preserve">Discussion.</w:t>
      </w:r>
      <w:r>
        <w:t xml:space="preserve"> </w:t>
      </w:r>
      <w:r>
        <w:t xml:space="preserve">We highlight this defect specifically because it</w:t>
      </w:r>
      <w:r>
        <w:t xml:space="preserve"> </w:t>
      </w:r>
      <w:r>
        <w:t xml:space="preserve">illustrates a general and, we believe, underappreciated point: a</w:t>
      </w:r>
      <w:r>
        <w:t xml:space="preserve"> </w:t>
      </w:r>
      <w:r>
        <w:t xml:space="preserve">threat model’s stated premises (§10 says explicitly that client input</w:t>
      </w:r>
      <w:r>
        <w:t xml:space="preserve"> </w:t>
      </w:r>
      <w:r>
        <w:t xml:space="preserve">is untrusted) are not self-enforcing. Code that processes</w:t>
      </w:r>
      <w:r>
        <w:t xml:space="preserve"> </w:t>
      </w:r>
      <w:r>
        <w:t xml:space="preserve">attacker-controlled input before authentication is complete is exactly</w:t>
      </w:r>
      <w:r>
        <w:t xml:space="preserve"> </w:t>
      </w:r>
      <w:r>
        <w:t xml:space="preserve">where that premise must be verified empirically, per code path, not</w:t>
      </w:r>
      <w:r>
        <w:t xml:space="preserve"> </w:t>
      </w:r>
      <w:r>
        <w:t xml:space="preserve">merely asserted in a document — and the verification method that found</w:t>
      </w:r>
      <w:r>
        <w:t xml:space="preserve"> </w:t>
      </w:r>
      <w:r>
        <w:t xml:space="preserve">this specific gap between stated premise and actual code (structured</w:t>
      </w:r>
      <w:r>
        <w:t xml:space="preserve"> </w:t>
      </w:r>
      <w:r>
        <w:t xml:space="preserve">input-space fuzzing of the pre-authentication message handler) is</w:t>
      </w:r>
      <w:r>
        <w:t xml:space="preserve"> </w:t>
      </w:r>
      <w:r>
        <w:t xml:space="preserve">under-used relative to how effective it was here: one property-based</w:t>
      </w:r>
      <w:r>
        <w:t xml:space="preserve"> </w:t>
      </w:r>
      <w:r>
        <w:t xml:space="preserve">test, running its first generated example, found a remotely</w:t>
      </w:r>
      <w:r>
        <w:t xml:space="preserve"> </w:t>
      </w:r>
      <w:r>
        <w:t xml:space="preserve">exploitable crash that 30 hand-written example-based unit tests</w:t>
      </w:r>
      <w:r>
        <w:t xml:space="preserve"> </w:t>
      </w:r>
      <w:r>
        <w:t xml:space="preserve">(passing at the time) had not.</w:t>
      </w:r>
    </w:p>
    <w:bookmarkEnd w:id="48"/>
    <w:bookmarkStart w:id="49" w:name="coverage-summary"/>
    <w:p>
      <w:pPr>
        <w:pStyle w:val="Heading2"/>
      </w:pPr>
      <w:r>
        <w:t xml:space="preserve">8.4 Coverage summary</w:t>
      </w:r>
    </w:p>
    <w:p>
      <w:pPr>
        <w:pStyle w:val="FirstParagraph"/>
      </w:pPr>
      <w:r>
        <w:t xml:space="preserve">The full property-based suite comprises 45 tests across five modules</w:t>
      </w:r>
      <w:r>
        <w:t xml:space="preserve"> </w:t>
      </w:r>
      <w:r>
        <w:t xml:space="preserve">(cryptographic primitives, Identity Vector properties, Trust Score</w:t>
      </w:r>
      <w:r>
        <w:t xml:space="preserve"> </w:t>
      </w:r>
      <w:r>
        <w:t xml:space="preserve">properties, Session DNA lifecycle properties, and adversarial</w:t>
      </w:r>
      <w:r>
        <w:t xml:space="preserve"> </w:t>
      </w:r>
      <w:r>
        <w:t xml:space="preserve">handshake state-machine fuzzing), each executing 100–300 randomized</w:t>
      </w:r>
      <w:r>
        <w:t xml:space="preserve"> </w:t>
      </w:r>
      <w:r>
        <w:t xml:space="preserve">examples per run (Hypothesis’s default shrinking behavior additionally</w:t>
      </w:r>
      <w:r>
        <w:t xml:space="preserve"> </w:t>
      </w:r>
      <w:r>
        <w:t xml:space="preserve">minimizes any failing example to the smallest reproducing case). Table</w:t>
      </w:r>
      <w:r>
        <w:t xml:space="preserve"> </w:t>
      </w:r>
      <w:r>
        <w:t xml:space="preserve">4 summarizes the invariants checked.</w:t>
      </w:r>
    </w:p>
    <w:p>
      <w:pPr>
        <w:pStyle w:val="BodyText"/>
      </w:pPr>
      <w:r>
        <w:rPr>
          <w:bCs/>
          <w:b/>
        </w:rPr>
        <w:t xml:space="preserve">Table 4: Property-based test coverage by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invariants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determinism &amp; domain separation; HKDF output length; Ed25519 sign/verify correctness under tampering; X25519 ECDH symmetry; CSPRNG non-collision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Unit-norm output or typed rejection; determinism; self-distance zero; allow-list fail-closed under injected non-listed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always in [0,100]; decision consistent with policy thresholds; identity score monotonic in distance; context score never exceeds worst single prior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DNA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never repeats a value; generation counter monotonic; only the latest generation ever validates; revocation is absolute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Out-of-order messages rejected; replayed</w:t>
            </w:r>
            <w:r>
              <w:t xml:space="preserve"> </w:t>
            </w:r>
            <w:r>
              <w:rPr>
                <w:rStyle w:val="VerbatimChar"/>
              </w:rPr>
              <w:t xml:space="preserve">msg_id</w:t>
            </w:r>
            <w:r>
              <w:t xml:space="preserve"> </w:t>
            </w:r>
            <w:r>
              <w:t xml:space="preserve">rejected; unsupported cipher suites rejected; forged/garbage signatures rejected</w:t>
            </w:r>
          </w:p>
        </w:tc>
      </w:tr>
    </w:tbl>
    <w:bookmarkEnd w:id="49"/>
    <w:bookmarkEnd w:id="50"/>
    <w:bookmarkStart w:id="53" w:name="cross-language-interoperability"/>
    <w:p>
      <w:pPr>
        <w:pStyle w:val="Heading1"/>
      </w:pPr>
      <w:r>
        <w:t xml:space="preserve">9. Cross-Language Interoperability</w:t>
      </w:r>
    </w:p>
    <w:p>
      <w:pPr>
        <w:pStyle w:val="FirstParagraph"/>
      </w:pPr>
      <w:r>
        <w:t xml:space="preserve">A specification that only one implementation has ever satisfied has</w:t>
      </w:r>
      <w:r>
        <w:t xml:space="preserve"> </w:t>
      </w:r>
      <w:r>
        <w:t xml:space="preserve">not demonstrated that it is implementable, only that it was</w:t>
      </w:r>
      <w:r>
        <w:t xml:space="preserve"> </w:t>
      </w:r>
      <w:r>
        <w:t xml:space="preserve">implemented once. To test this, we produced a second, independent</w:t>
      </w:r>
      <w:r>
        <w:t xml:space="preserve"> </w:t>
      </w:r>
      <w:r>
        <w:t xml:space="preserve">TypeScript implementation (</w:t>
      </w:r>
      <w:r>
        <w:rPr>
          <w:rStyle w:val="VerbatimChar"/>
        </w:rPr>
        <w:t xml:space="preserve">sdk/javascript/</w:t>
      </w:r>
      <w:r>
        <w:t xml:space="preserve">, using</w:t>
      </w:r>
      <w:r>
        <w:t xml:space="preserve"> </w:t>
      </w:r>
      <w:r>
        <w:rPr>
          <w:rStyle w:val="VerbatimChar"/>
        </w:rPr>
        <w:t xml:space="preserve">@noble/curves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@noble/hashes</w:t>
      </w:r>
      <w:r>
        <w:t xml:space="preserve"> </w:t>
      </w:r>
      <w:r>
        <w:t xml:space="preserve">— a different cryptographic library from the Python</w:t>
      </w:r>
      <w:r>
        <w:t xml:space="preserve"> </w:t>
      </w:r>
      <w:r>
        <w:t xml:space="preserve">reference’s</w:t>
      </w:r>
      <w:r>
        <w:t xml:space="preserve"> </w:t>
      </w:r>
      <w:r>
        <w:rPr>
          <w:rStyle w:val="VerbatimChar"/>
        </w:rPr>
        <w:t xml:space="preserve">PyNaCl</w:t>
      </w:r>
      <w:r>
        <w:t xml:space="preserve">/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stack) and verified genuine</w:t>
      </w:r>
      <w:r>
        <w:t xml:space="preserve"> </w:t>
      </w:r>
      <w:r>
        <w:t xml:space="preserve">interoperability at two levels: byte-identical intermediate output, and</w:t>
      </w:r>
      <w:r>
        <w:t xml:space="preserve"> </w:t>
      </w:r>
      <w:r>
        <w:t xml:space="preserve">a real network handshake between the two implementations.</w:t>
      </w:r>
    </w:p>
    <w:bookmarkStart w:id="51" w:name="byte-identical-digest-parity"/>
    <w:p>
      <w:pPr>
        <w:pStyle w:val="Heading2"/>
      </w:pPr>
      <w:r>
        <w:t xml:space="preserve">9.1 Byte-identical digest parity</w:t>
      </w:r>
    </w:p>
    <w:p>
      <w:pPr>
        <w:pStyle w:val="FirstParagraph"/>
      </w:pPr>
      <w:r>
        <w:t xml:space="preserve">An automated regression test (</w:t>
      </w:r>
      <w:r>
        <w:rPr>
          <w:rStyle w:val="VerbatimChar"/>
        </w:rPr>
        <w:t xml:space="preserve">tests/interop/test_ts_python_parity.py</w:t>
      </w:r>
      <w:r>
        <w:t xml:space="preserve">)</w:t>
      </w:r>
      <w:r>
        <w:t xml:space="preserve"> </w:t>
      </w:r>
      <w:r>
        <w:t xml:space="preserve">runs both implementations against identical fixed inputs and asserts</w:t>
      </w:r>
      <w:r>
        <w:t xml:space="preserve"> </w:t>
      </w:r>
      <w:r>
        <w:rPr>
          <w:bCs/>
          <w:b/>
        </w:rPr>
        <w:t xml:space="preserve">byte-identical</w:t>
      </w:r>
      <w:r>
        <w:t xml:space="preserve"> </w:t>
      </w:r>
      <w:r>
        <w:t xml:space="preserve">output — not merely</w:t>
      </w:r>
      <w:r>
        <w:t xml:space="preserve"> </w:t>
      </w:r>
      <w:r>
        <w:t xml:space="preserve">“</w:t>
      </w:r>
      <w:r>
        <w:t xml:space="preserve">producing a plausible-looking</w:t>
      </w:r>
      <w:r>
        <w:t xml:space="preserve"> </w:t>
      </w:r>
      <w:r>
        <w:t xml:space="preserve">result,</w:t>
      </w:r>
      <w:r>
        <w:t xml:space="preserve">”</w:t>
      </w:r>
      <w:r>
        <w:t xml:space="preserve"> </w:t>
      </w:r>
      <w:r>
        <w:t xml:space="preserve">which, as the two defects below demonstrate, both</w:t>
      </w:r>
      <w:r>
        <w:t xml:space="preserve"> </w:t>
      </w:r>
      <w:r>
        <w:t xml:space="preserve">implementations did even while disagreeing with each other — for:</w:t>
      </w:r>
      <w:r>
        <w:t xml:space="preserve"> </w:t>
      </w:r>
      <w:r>
        <w:t xml:space="preserve">domain-separated BLAKE3 hashes, HKDF output, each of the three</w:t>
      </w:r>
      <w:r>
        <w:t xml:space="preserve"> </w:t>
      </w:r>
      <w:r>
        <w:t xml:space="preserve">entropy-normalization digests, and the complete 256-dimensional</w:t>
      </w:r>
      <w:r>
        <w:t xml:space="preserve"> </w:t>
      </w:r>
      <w:r>
        <w:t xml:space="preserve">Identity Vector (compared to 10⁻¹⁰ precision) including its</w:t>
      </w:r>
      <w:r>
        <w:t xml:space="preserve"> </w:t>
      </w:r>
      <w:r>
        <w:rPr>
          <w:rStyle w:val="VerbatimChar"/>
        </w:rPr>
        <w:t xml:space="preserve">iv_digest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Defect 4: HKDF vs. HKDF-Expand.</w:t>
      </w:r>
      <w:r>
        <w:t xml:space="preserve"> </w:t>
      </w:r>
      <w:r>
        <w:t xml:space="preserve">The TypeScript port of the</w:t>
      </w:r>
      <w:r>
        <w:t xml:space="preserve"> </w:t>
      </w:r>
      <w:r>
        <w:t xml:space="preserve">vector-expansion function (§4.1’s</w:t>
      </w:r>
      <w:r>
        <w:t xml:space="preserve"> </w:t>
      </w:r>
      <w:r>
        <w:rPr>
          <w:iCs/>
          <w:i/>
        </w:rPr>
        <w:t xml:space="preserve">Expand</w:t>
      </w:r>
      <w:r>
        <w:t xml:space="preserve">) initially used</w:t>
      </w:r>
      <w:r>
        <w:t xml:space="preserve"> </w:t>
      </w:r>
      <w:r>
        <w:rPr>
          <w:rStyle w:val="VerbatimChar"/>
        </w:rPr>
        <w:t xml:space="preserve">@noble/hashes</w:t>
      </w:r>
      <w:r>
        <w:t xml:space="preserve">’s full extract-then-expand</w:t>
      </w:r>
      <w:r>
        <w:t xml:space="preserve"> </w:t>
      </w:r>
      <w:r>
        <w:rPr>
          <w:rStyle w:val="VerbatimChar"/>
        </w:rPr>
        <w:t xml:space="preserve">hkdf()</w:t>
      </w:r>
      <w:r>
        <w:t xml:space="preserve"> </w:t>
      </w:r>
      <w:r>
        <w:t xml:space="preserve">function. The</w:t>
      </w:r>
      <w:r>
        <w:t xml:space="preserve"> </w:t>
      </w:r>
      <w:r>
        <w:t xml:space="preserve">Python reference uses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HKDFExpand</w:t>
      </w:r>
      <w:r>
        <w:t xml:space="preserve"> </w:t>
      </w:r>
      <w:r>
        <w:t xml:space="preserve">— expand-only,</w:t>
      </w:r>
      <w:r>
        <w:t xml:space="preserve"> </w:t>
      </w:r>
      <w:r>
        <w:t xml:space="preserve">treating its input seed directly as the already-extracted pseudorandom</w:t>
      </w:r>
      <w:r>
        <w:t xml:space="preserve"> </w:t>
      </w:r>
      <w:r>
        <w:t xml:space="preserve">key. These are different constructions (RFC 5869 [RFC5869] §2 distinguishes</w:t>
      </w:r>
      <w:r>
        <w:t xml:space="preserve"> </w:t>
      </w:r>
      <w:r>
        <w:t xml:space="preserve">Extract and Expand as separate, independently invokable phases), and</w:t>
      </w:r>
      <w:r>
        <w:t xml:space="preserve"> </w:t>
      </w:r>
      <w:r>
        <w:t xml:space="preserve">using the full construction where only Expand was specified produces a</w:t>
      </w:r>
      <w:r>
        <w:t xml:space="preserve"> </w:t>
      </w:r>
      <w:r>
        <w:rPr>
          <w:bCs/>
          <w:b/>
        </w:rPr>
        <w:t xml:space="preserve">different but equally valid-looking</w:t>
      </w:r>
      <w:r>
        <w:t xml:space="preserve"> </w:t>
      </w:r>
      <w:r>
        <w:t xml:space="preserve">Identity Vector: correctly</w:t>
      </w:r>
      <w:r>
        <w:t xml:space="preserve"> </w:t>
      </w:r>
      <w:r>
        <w:t xml:space="preserve">unit-normalized, correctly dimensioned, indistinguishable from a</w:t>
      </w:r>
      <w:r>
        <w:t xml:space="preserve"> </w:t>
      </w:r>
      <w:r>
        <w:t xml:space="preserve">correct output by any check that does not compare against an</w:t>
      </w:r>
      <w:r>
        <w:t xml:space="preserve"> </w:t>
      </w:r>
      <w:r>
        <w:t xml:space="preserve">independent reference implementation. The interop parity test failed</w:t>
      </w:r>
      <w:r>
        <w:t xml:space="preserve"> </w:t>
      </w:r>
      <w:r>
        <w:t xml:space="preserve">immediately on this input, isolating the defect to the vector-expansion</w:t>
      </w:r>
      <w:r>
        <w:t xml:space="preserve"> </w:t>
      </w:r>
      <w:r>
        <w:t xml:space="preserve">function specifically (all upstream digests still matched).</w:t>
      </w:r>
    </w:p>
    <w:p>
      <w:pPr>
        <w:pStyle w:val="BodyText"/>
      </w:pPr>
      <w:r>
        <w:rPr>
          <w:bCs/>
          <w:b/>
        </w:rPr>
        <w:t xml:space="preserve">Defect 5: digest concatenation shape.</w:t>
      </w:r>
      <w:r>
        <w:t xml:space="preserve"> </w:t>
      </w:r>
      <w:r>
        <w:t xml:space="preserve">A related but distinct</w:t>
      </w:r>
      <w:r>
        <w:t xml:space="preserve"> </w:t>
      </w:r>
      <w:r>
        <w:t xml:space="preserve">defect in the same code path: the Python reference computes</w:t>
      </w:r>
      <w:r>
        <w:t xml:space="preserve"> </w:t>
      </w:r>
      <w:r>
        <w:rPr>
          <w:rStyle w:val="VerbatimChar"/>
        </w:rPr>
        <w:t xml:space="preserve">iv_digest</w:t>
      </w:r>
      <w:r>
        <w:t xml:space="preserve"> </w:t>
      </w:r>
      <w:r>
        <w:t xml:space="preserve">by joining the vector’s byte-encoded components into one</w:t>
      </w:r>
      <w:r>
        <w:t xml:space="preserve"> </w:t>
      </w:r>
      <w:r>
        <w:t xml:space="preserve">flat concatenated blob before hashing (</w:t>
      </w:r>
      <w:r>
        <w:rPr>
          <w:rStyle w:val="VerbatimChar"/>
        </w:rPr>
        <w:t xml:space="preserve">b"".join(...)</w:t>
      </w:r>
      <w:r>
        <w:t xml:space="preserve">), whereas the</w:t>
      </w:r>
      <w:r>
        <w:t xml:space="preserve"> </w:t>
      </w:r>
      <w:r>
        <w:t xml:space="preserve">TypeScript port initially passed the 256 components as separately</w:t>
      </w:r>
      <w:r>
        <w:t xml:space="preserve"> </w:t>
      </w:r>
      <w:r>
        <w:t xml:space="preserve">length-prefixed parts to the multi-part hashing function (the correct</w:t>
      </w:r>
      <w:r>
        <w:t xml:space="preserve"> </w:t>
      </w:r>
      <w:r>
        <w:t xml:space="preserve">approach for the protocol’s normal domain-separated hashing, §5.1, but</w:t>
      </w:r>
      <w:r>
        <w:t xml:space="preserve"> </w:t>
      </w:r>
      <w:r>
        <w:t xml:space="preserve">not for this specific internal digest, which follows a different,</w:t>
      </w:r>
      <w:r>
        <w:t xml:space="preserve"> </w:t>
      </w:r>
      <w:r>
        <w:t xml:space="preserve">undocumented-until-this-defect convention). The interop test caught</w:t>
      </w:r>
      <w:r>
        <w:t xml:space="preserve"> </w:t>
      </w:r>
      <w:r>
        <w:t xml:space="preserve">this in the same debugging pass as Defect 4.</w:t>
      </w:r>
    </w:p>
    <w:p>
      <w:pPr>
        <w:pStyle w:val="BodyText"/>
      </w:pPr>
      <w:r>
        <w:t xml:space="preserve">Both defects share a common shape worth naming explicitly: each</w:t>
      </w:r>
      <w:r>
        <w:t xml:space="preserve"> </w:t>
      </w:r>
      <w:r>
        <w:t xml:space="preserve">produced output that was</w:t>
      </w:r>
      <w:r>
        <w:t xml:space="preserve"> </w:t>
      </w:r>
      <w:r>
        <w:rPr>
          <w:iCs/>
          <w:i/>
        </w:rPr>
        <w:t xml:space="preserve">individually plausible</w:t>
      </w:r>
      <w:r>
        <w:t xml:space="preserve"> </w:t>
      </w:r>
      <w:r>
        <w:t xml:space="preserve">— correct type,</w:t>
      </w:r>
      <w:r>
        <w:t xml:space="preserve"> </w:t>
      </w:r>
      <w:r>
        <w:t xml:space="preserve">correct length, correct numeric range — and would not have been caught</w:t>
      </w:r>
      <w:r>
        <w:t xml:space="preserve"> </w:t>
      </w:r>
      <w:r>
        <w:t xml:space="preserve">by any test that validated the TypeScript implementation against its</w:t>
      </w:r>
      <w:r>
        <w:t xml:space="preserve"> </w:t>
      </w:r>
      <w:r>
        <w:t xml:space="preserve">own internal consistency alone. They were only discoverable by</w:t>
      </w:r>
      <w:r>
        <w:t xml:space="preserve"> </w:t>
      </w:r>
      <w:r>
        <w:t xml:space="preserve">comparison against an independent reference, which is the entire</w:t>
      </w:r>
      <w:r>
        <w:t xml:space="preserve"> </w:t>
      </w:r>
      <w:r>
        <w:t xml:space="preserve">methodological argument for building and testing a second</w:t>
      </w:r>
      <w:r>
        <w:t xml:space="preserve"> </w:t>
      </w:r>
      <w:r>
        <w:t xml:space="preserve">implementation rather than treating</w:t>
      </w:r>
      <w:r>
        <w:t xml:space="preserve"> </w:t>
      </w:r>
      <w:r>
        <w:t xml:space="preserve">“</w:t>
      </w:r>
      <w:r>
        <w:t xml:space="preserve">we have one implementation and it</w:t>
      </w:r>
      <w:r>
        <w:t xml:space="preserve"> </w:t>
      </w:r>
      <w:r>
        <w:t xml:space="preserve">passes its own tests</w:t>
      </w:r>
      <w:r>
        <w:t xml:space="preserve">”</w:t>
      </w:r>
      <w:r>
        <w:t xml:space="preserve"> </w:t>
      </w:r>
      <w:r>
        <w:t xml:space="preserve">as sufficient evidence of a specification’s</w:t>
      </w:r>
      <w:r>
        <w:t xml:space="preserve"> </w:t>
      </w:r>
      <w:r>
        <w:t xml:space="preserve">correctness.</w:t>
      </w:r>
    </w:p>
    <w:bookmarkEnd w:id="51"/>
    <w:bookmarkStart w:id="52" w:name="live-cross-language-handshake"/>
    <w:p>
      <w:pPr>
        <w:pStyle w:val="Heading2"/>
      </w:pPr>
      <w:r>
        <w:t xml:space="preserve">9.2 Live cross-language handshake</w:t>
      </w:r>
    </w:p>
    <w:p>
      <w:pPr>
        <w:pStyle w:val="FirstParagraph"/>
      </w:pPr>
      <w:r>
        <w:t xml:space="preserve">Beyond digest parity, we verified a complete RFC-0001 handshake</w:t>
      </w:r>
      <w:r>
        <w:t xml:space="preserve"> </w:t>
      </w:r>
      <w:r>
        <w:t xml:space="preserve">executed with a TypeScript client (</w:t>
      </w:r>
      <w:r>
        <w:rPr>
          <w:rStyle w:val="VerbatimChar"/>
        </w:rPr>
        <w:t xml:space="preserve">sdk/javascript/src/demo/demoHttpClient.ts</w:t>
      </w:r>
      <w:r>
        <w:t xml:space="preserve">)</w:t>
      </w:r>
      <w:r>
        <w:t xml:space="preserve"> </w:t>
      </w:r>
      <w:r>
        <w:t xml:space="preserve">against the Python reference server over real HTTP. The client</w:t>
      </w:r>
      <w:r>
        <w:t xml:space="preserve"> </w:t>
      </w:r>
      <w:r>
        <w:t xml:space="preserve">generates its Ed25519 keypair and signs the transcript hash using</w:t>
      </w:r>
      <w:r>
        <w:t xml:space="preserve"> </w:t>
      </w:r>
      <w:r>
        <w:rPr>
          <w:rStyle w:val="VerbatimChar"/>
        </w:rPr>
        <w:t xml:space="preserve">@noble/curves</w:t>
      </w:r>
      <w:r>
        <w:t xml:space="preserve">; the server verifies that signature using</w:t>
      </w:r>
      <w:r>
        <w:t xml:space="preserve"> </w:t>
      </w:r>
      <w:r>
        <w:rPr>
          <w:rStyle w:val="VerbatimChar"/>
        </w:rPr>
        <w:t xml:space="preserve">PyNaCl</w:t>
      </w:r>
      <w:r>
        <w:t xml:space="preserve">. A</w:t>
      </w:r>
      <w:r>
        <w:t xml:space="preserve"> </w:t>
      </w:r>
      <w:r>
        <w:t xml:space="preserve">mismatch in transcript-hash construction or canonical JSON</w:t>
      </w:r>
      <w:r>
        <w:t xml:space="preserve"> </w:t>
      </w:r>
      <w:r>
        <w:t xml:space="preserve">serialization between the two implementations — including either of</w:t>
      </w:r>
      <w:r>
        <w:t xml:space="preserve"> </w:t>
      </w:r>
      <w:r>
        <w:t xml:space="preserve">Defects 4–5, prior to their fix — manifests here as</w:t>
      </w:r>
      <w:r>
        <w:t xml:space="preserve"> </w:t>
      </w:r>
      <w:r>
        <w:rPr>
          <w:rStyle w:val="VerbatimChar"/>
        </w:rPr>
        <w:t xml:space="preserve">ERR_SIGNATURE_INVALID</w:t>
      </w:r>
      <w:r>
        <w:t xml:space="preserve">,</w:t>
      </w:r>
      <w:r>
        <w:t xml:space="preserve"> </w:t>
      </w:r>
      <w:r>
        <w:t xml:space="preserve">not as a subtler numeric discrepancy; the handshake either completes</w:t>
      </w:r>
      <w:r>
        <w:t xml:space="preserve"> </w:t>
      </w:r>
      <w:r>
        <w:t xml:space="preserve">or it does not. We confirmed successful completion, including the</w:t>
      </w:r>
      <w:r>
        <w:t xml:space="preserve"> </w:t>
      </w:r>
      <w:r>
        <w:t xml:space="preserve">server-computed Trust Score correctly reflecting persisted history from</w:t>
      </w:r>
      <w:r>
        <w:t xml:space="preserve"> </w:t>
      </w:r>
      <w:r>
        <w:t xml:space="preserve">a prior session for the same subject (the same</w:t>
      </w:r>
      <w:r>
        <w:t xml:space="preserve"> </w:t>
      </w:r>
      <w:r>
        <w:rPr>
          <w:rStyle w:val="VerbatimChar"/>
        </w:rPr>
        <w:t xml:space="preserve">DENY → STEP_UP</w:t>
      </w:r>
      <w:r>
        <w:t xml:space="preserve"> </w:t>
      </w:r>
      <w:r>
        <w:t xml:space="preserve">progression from §4.3’s discussion, produced by a client the Trust</w:t>
      </w:r>
      <w:r>
        <w:t xml:space="preserve"> </w:t>
      </w:r>
      <w:r>
        <w:t xml:space="preserve">Engine itself has no code path shared with).</w:t>
      </w:r>
    </w:p>
    <w:bookmarkEnd w:id="52"/>
    <w:bookmarkEnd w:id="53"/>
    <w:bookmarkStart w:id="56" w:name="threat-model-and-security-analysis"/>
    <w:p>
      <w:pPr>
        <w:pStyle w:val="Heading1"/>
      </w:pPr>
      <w:r>
        <w:t xml:space="preserve">10. Threat Model and Security Analysis</w:t>
      </w:r>
    </w:p>
    <w:p>
      <w:pPr>
        <w:pStyle w:val="FirstParagraph"/>
      </w:pPr>
      <w:r>
        <w:t xml:space="preserve">This section summarizes the threat model (full text:</w:t>
      </w:r>
      <w:r>
        <w:t xml:space="preserve"> </w:t>
      </w:r>
      <w:r>
        <w:rPr>
          <w:rStyle w:val="VerbatimChar"/>
        </w:rPr>
        <w:t xml:space="preserve">docs/architecture/threat-model.md</w:t>
      </w:r>
      <w:r>
        <w:t xml:space="preserve">), organized by STRIDE category,</w:t>
      </w:r>
      <w:r>
        <w:t xml:space="preserve"> </w:t>
      </w:r>
      <w:r>
        <w:t xml:space="preserve">with explicit residual-risk acknowledgment for mitigations that are</w:t>
      </w:r>
      <w:r>
        <w:t xml:space="preserve"> </w:t>
      </w:r>
      <w:r>
        <w:t xml:space="preserve">partial rather than complete — a threat model that reports only solved</w:t>
      </w:r>
      <w:r>
        <w:t xml:space="preserve"> </w:t>
      </w:r>
      <w:r>
        <w:t xml:space="preserve">problems is not describing its actual security posture.</w:t>
      </w:r>
    </w:p>
    <w:p>
      <w:pPr>
        <w:pStyle w:val="BodyText"/>
      </w:pPr>
      <w:r>
        <w:rPr>
          <w:bCs/>
          <w:b/>
        </w:rPr>
        <w:t xml:space="preserve">Table 5: Threat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(§10.1)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msg_id</w:t>
            </w:r>
            <w:r>
              <w:t xml:space="preserve"> </w:t>
            </w:r>
            <w:r>
              <w:t xml:space="preserve">uniqueness + timestamp window + transcript-bound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relay / AiTM phishing (§10.2)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beyond context-based risk flagging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— 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stuffing (§10.3)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Engine + rate limiting (no static-password sole factor)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hijacking (§10.4)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rotation bounds exposure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Bounded, not 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Wire-level MITM (§10.5)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entirely to 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 (by requirement)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theft (§10.6)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drift detection (probabilistic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Probabilistic mitigation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threat (§10.7)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Hashing + zero raw retention + per-RP salting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Reduced, not 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 (§10.8)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controls; minimal, audited dependency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wire-protocol scope</w:t>
            </w:r>
          </w:p>
        </w:tc>
      </w:tr>
    </w:tbl>
    <w:bookmarkStart w:id="54" w:name="Xbe47c21172b43d51940857ddaf92da365da49c0"/>
    <w:p>
      <w:pPr>
        <w:pStyle w:val="Heading2"/>
      </w:pPr>
      <w:r>
        <w:t xml:space="preserve">10.1 The most significant acknowledged gap: real-time relay</w:t>
      </w:r>
    </w:p>
    <w:p>
      <w:pPr>
        <w:pStyle w:val="FirstParagraph"/>
      </w:pPr>
      <w:r>
        <w:t xml:space="preserve">RFC-0001’s transcript-binding (§5.2) defeats</w:t>
      </w:r>
      <w:r>
        <w:t xml:space="preserve"> </w:t>
      </w:r>
      <w:r>
        <w:rPr>
          <w:iCs/>
          <w:i/>
        </w:rPr>
        <w:t xml:space="preserve">replay</w:t>
      </w:r>
      <w:r>
        <w:t xml:space="preserve"> </w:t>
      </w:r>
      <w:r>
        <w:t xml:space="preserve">of a captured</w:t>
      </w:r>
      <w:r>
        <w:t xml:space="preserve"> </w:t>
      </w:r>
      <w:r>
        <w:t xml:space="preserve">proof, but does not by itself defeat a</w:t>
      </w:r>
      <w:r>
        <w:t xml:space="preserve"> </w:t>
      </w:r>
      <w:r>
        <w:rPr>
          <w:iCs/>
          <w:i/>
        </w:rPr>
        <w:t xml:space="preserve">real-time</w:t>
      </w:r>
      <w:r>
        <w:t xml:space="preserve"> </w:t>
      </w:r>
      <w:r>
        <w:t xml:space="preserve">proxy that</w:t>
      </w:r>
      <w:r>
        <w:t xml:space="preserve"> </w:t>
      </w:r>
      <w:r>
        <w:t xml:space="preserve">transparently forwards every message between victim and legitimate</w:t>
      </w:r>
      <w:r>
        <w:t xml:space="preserve"> </w:t>
      </w:r>
      <w:r>
        <w:t xml:space="preserve">server while capturing the resulting</w:t>
      </w:r>
      <w:r>
        <w:t xml:space="preserve"> </w:t>
      </w:r>
      <w:r>
        <w:rPr>
          <w:rStyle w:val="VerbatimChar"/>
        </w:rPr>
        <w:t xml:space="preserve">SESSION_DNA</w:t>
      </w:r>
      <w:r>
        <w:t xml:space="preserve">. TLS channel binding</w:t>
      </w:r>
      <w:r>
        <w:t xml:space="preserve"> </w:t>
      </w:r>
      <w:r>
        <w:t xml:space="preserve">[RFC9266] — cryptographically binding the application-layer handshake</w:t>
      </w:r>
      <w:r>
        <w:t xml:space="preserve"> </w:t>
      </w:r>
      <w:r>
        <w:t xml:space="preserve">to the specific TLS channel it traveled over — is the standard</w:t>
      </w:r>
      <w:r>
        <w:t xml:space="preserve"> </w:t>
      </w:r>
      <w:r>
        <w:t xml:space="preserve">mitigation for this class of attack and is noted as a SHOULD, not yet a</w:t>
      </w:r>
      <w:r>
        <w:t xml:space="preserve"> </w:t>
      </w:r>
      <w:r>
        <w:t xml:space="preserve">MUST, in the current draft; the reference implementation does not</w:t>
      </w:r>
      <w:r>
        <w:t xml:space="preserve"> </w:t>
      </w:r>
      <w:r>
        <w:t xml:space="preserve">currently implement it. We report this as an open item rather than</w:t>
      </w:r>
      <w:r>
        <w:t xml:space="preserve"> </w:t>
      </w:r>
      <w:r>
        <w:t xml:space="preserve">omitting the attack class from discussion, consistent with §1.2’s</w:t>
      </w:r>
      <w:r>
        <w:t xml:space="preserve"> </w:t>
      </w:r>
      <w:r>
        <w:t xml:space="preserve">priority on honest, falsifiable claims over a clean-looking checklist.</w:t>
      </w:r>
    </w:p>
    <w:bookmarkEnd w:id="54"/>
    <w:bookmarkStart w:id="55" w:name="explicitly-out-of-scope"/>
    <w:p>
      <w:pPr>
        <w:pStyle w:val="Heading2"/>
      </w:pPr>
      <w:r>
        <w:t xml:space="preserve">10.2 Explicitly out of scope</w:t>
      </w:r>
    </w:p>
    <w:p>
      <w:pPr>
        <w:pStyle w:val="FirstParagraph"/>
      </w:pPr>
      <w:r>
        <w:t xml:space="preserve">Physical/endpoint compromise below the OS trust boundary,</w:t>
      </w:r>
      <w:r>
        <w:t xml:space="preserve"> </w:t>
      </w:r>
      <w:r>
        <w:t xml:space="preserve">post-quantum-adversary resistance (Ed25519/X25519 are not post-quantum</w:t>
      </w:r>
      <w:r>
        <w:t xml:space="preserve"> </w:t>
      </w:r>
      <w:r>
        <w:t xml:space="preserve">constructions), and social engineering of a Relying Party’s support</w:t>
      </w:r>
      <w:r>
        <w:t xml:space="preserve"> </w:t>
      </w:r>
      <w:r>
        <w:t xml:space="preserve">staff are all explicitly out of scope for this protocol layer, stated</w:t>
      </w:r>
      <w:r>
        <w:t xml:space="preserve"> </w:t>
      </w:r>
      <w:r>
        <w:t xml:space="preserve">as such rather than left ambiguous.</w:t>
      </w:r>
      <w:r>
        <w:t xml:space="preserve"> </w:t>
      </w:r>
    </w:p>
    <w:bookmarkEnd w:id="55"/>
    <w:bookmarkEnd w:id="56"/>
    <w:bookmarkStart w:id="57" w:name="performance-evaluation"/>
    <w:p>
      <w:pPr>
        <w:pStyle w:val="Heading1"/>
      </w:pPr>
      <w:r>
        <w:t xml:space="preserve">11. Performance Evaluation</w:t>
      </w:r>
    </w:p>
    <w:p>
      <w:pPr>
        <w:pStyle w:val="FirstParagraph"/>
      </w:pPr>
      <w:r>
        <w:t xml:space="preserve">All figures were measured on the reference Python implementation,</w:t>
      </w:r>
      <w:r>
        <w:t xml:space="preserve"> </w:t>
      </w:r>
      <w:r>
        <w:t xml:space="preserve">single-threaded, on commodity container hardware (no GPU acceleration,</w:t>
      </w:r>
      <w:r>
        <w:t xml:space="preserve"> </w:t>
      </w:r>
      <w:r>
        <w:t xml:space="preserve">no hand optimization beyond what the underlying cryptographic</w:t>
      </w:r>
      <w:r>
        <w:t xml:space="preserve"> </w:t>
      </w:r>
      <w:r>
        <w:t xml:space="preserve">libraries provide by default). These are meant to establish</w:t>
      </w:r>
      <w:r>
        <w:t xml:space="preserve"> </w:t>
      </w:r>
      <w:r>
        <w:t xml:space="preserve">order-of-magnitude feasibility, not to represent a tuned production</w:t>
      </w:r>
      <w:r>
        <w:t xml:space="preserve"> </w:t>
      </w:r>
      <w:r>
        <w:t xml:space="preserve">deployment’s throughput.</w:t>
      </w:r>
    </w:p>
    <w:p>
      <w:pPr>
        <w:pStyle w:val="BodyText"/>
      </w:pPr>
      <w:r>
        <w:rPr>
          <w:bCs/>
          <w:b/>
        </w:rPr>
        <w:t xml:space="preserve">Table 6: Micro-benchmark results (2,000 iterations per primitive)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BLAKE3-256 hash (domain-separated)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573,391 ops/sec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HKDF-SHA256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118,737 ops/sec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Ed25519 signature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36,504 ops/sec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7: End-to-end handshake latency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handshake, in-process, no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1,384 handshakes/sec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handshake, in-process, with SQLite persistence and Session DNA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 handshakes/sec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 ms</w:t>
            </w:r>
          </w:p>
        </w:tc>
      </w:tr>
    </w:tbl>
    <w:p>
      <w:pPr>
        <w:pStyle w:val="BodyText"/>
      </w:pPr>
      <w:r>
        <w:t xml:space="preserve">The roughly 4x latency increase between the two end-to-end</w:t>
      </w:r>
      <w:r>
        <w:t xml:space="preserve"> </w:t>
      </w:r>
      <w:r>
        <w:t xml:space="preserve">configurations is attributable to synchronous SQLite I/O (subject</w:t>
      </w:r>
      <w:r>
        <w:t xml:space="preserve"> </w:t>
      </w:r>
      <w:r>
        <w:t xml:space="preserve">baseline and history read/write) and the ephemeral X25519 ECDH plus</w:t>
      </w:r>
      <w:r>
        <w:t xml:space="preserve"> </w:t>
      </w:r>
      <w:r>
        <w:t xml:space="preserve">HKDF derivation required to produce a</w:t>
      </w:r>
      <w:r>
        <w:t xml:space="preserve"> </w:t>
      </w:r>
      <w:r>
        <w:rPr>
          <w:rStyle w:val="VerbatimChar"/>
        </w:rPr>
        <w:t xml:space="preserve">SESSION_DNA</w:t>
      </w:r>
      <w:r>
        <w:t xml:space="preserve"> </w:t>
      </w:r>
      <w:r>
        <w:t xml:space="preserve">— neither of which</w:t>
      </w:r>
      <w:r>
        <w:t xml:space="preserve"> </w:t>
      </w:r>
      <w:r>
        <w:t xml:space="preserve">occurs in the no-persistence, first-session-only benchmark, which</w:t>
      </w:r>
      <w:r>
        <w:t xml:space="preserve"> </w:t>
      </w:r>
      <w:r>
        <w:t xml:space="preserve">short-circuits to a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decision before reaching session generation.</w:t>
      </w:r>
      <w:r>
        <w:t xml:space="preserve"> </w:t>
      </w:r>
      <w:r>
        <w:t xml:space="preserve">The Ed25519 signature-verification cost (not separately benchmarked</w:t>
      </w:r>
      <w:r>
        <w:t xml:space="preserve"> </w:t>
      </w:r>
      <w:r>
        <w:t xml:space="preserve">here, but symmetric in cost to generation for this construction) is the</w:t>
      </w:r>
      <w:r>
        <w:t xml:space="preserve"> </w:t>
      </w:r>
      <w:r>
        <w:t xml:space="preserve">single largest per-handshake cryptographic expense, consistent with the</w:t>
      </w:r>
      <w:r>
        <w:t xml:space="preserve"> </w:t>
      </w:r>
      <w:r>
        <w:t xml:space="preserve">raw micro-benchmark figures in Table 6. We consider 351 fully-persisted</w:t>
      </w:r>
      <w:r>
        <w:t xml:space="preserve"> </w:t>
      </w:r>
      <w:r>
        <w:t xml:space="preserve">handshakes/sec, single-threaded and unoptimized, to indicate that the</w:t>
      </w:r>
      <w:r>
        <w:t xml:space="preserve"> </w:t>
      </w:r>
      <w:r>
        <w:t xml:space="preserve">protocol’s computational cost is not a barrier to production-scale</w:t>
      </w:r>
      <w:r>
        <w:t xml:space="preserve"> </w:t>
      </w:r>
      <w:r>
        <w:t xml:space="preserve">deployment behind ordinary horizontal scaling, though we make no claim</w:t>
      </w:r>
      <w:r>
        <w:t xml:space="preserve"> </w:t>
      </w:r>
      <w:r>
        <w:t xml:space="preserve">about behavior under concurrent load, connection pooling contention, or</w:t>
      </w:r>
      <w:r>
        <w:t xml:space="preserve"> </w:t>
      </w:r>
      <w:r>
        <w:t xml:space="preserve">a hardened production SQLite/PostgreSQL configuration, none of which</w:t>
      </w:r>
      <w:r>
        <w:t xml:space="preserve"> </w:t>
      </w:r>
      <w:r>
        <w:t xml:space="preserve">this reference implementation’s benchmarks exercise.</w:t>
      </w:r>
    </w:p>
    <w:bookmarkEnd w:id="57"/>
    <w:bookmarkStart w:id="61" w:name="limitations"/>
    <w:p>
      <w:pPr>
        <w:pStyle w:val="Heading1"/>
      </w:pPr>
      <w:r>
        <w:t xml:space="preserve">12. Limitations</w:t>
      </w:r>
    </w:p>
    <w:p>
      <w:pPr>
        <w:pStyle w:val="FirstParagraph"/>
      </w:pPr>
      <w:r>
        <w:t xml:space="preserve">We list limitations without euphemism, consistent with this paper’s</w:t>
      </w:r>
      <w:r>
        <w:t xml:space="preserve"> </w:t>
      </w:r>
      <w:r>
        <w:t xml:space="preserve">stated priority on honest over favorable framing.</w:t>
      </w:r>
    </w:p>
    <w:bookmarkStart w:id="58" w:name="protocol-level-limitations"/>
    <w:p>
      <w:pPr>
        <w:pStyle w:val="Heading2"/>
      </w:pPr>
      <w:r>
        <w:t xml:space="preserve">12.1 Protocol-level limitations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post-quantum cipher suite.</w:t>
      </w:r>
      <w:r>
        <w:t xml:space="preserve"> </w:t>
      </w:r>
      <w:r>
        <w:t xml:space="preserve">Ed25519/X25519 offer no resistance</w:t>
      </w:r>
      <w:r>
        <w:t xml:space="preserve"> </w:t>
      </w:r>
      <w:r>
        <w:t xml:space="preserve">to a cryptographically-relevant quantum adversary. A PQ-hybrid suite</w:t>
      </w:r>
      <w:r>
        <w:t xml:space="preserve"> </w:t>
      </w:r>
      <w:r>
        <w:t xml:space="preserve">is unspecified future work (§13).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TLS channel binding not yet mandatory</w:t>
      </w:r>
      <w:r>
        <w:t xml:space="preserve"> </w:t>
      </w:r>
      <w:r>
        <w:t xml:space="preserve">(§10.1) — the real-time</w:t>
      </w:r>
      <w:r>
        <w:t xml:space="preserve"> </w:t>
      </w:r>
      <w:r>
        <w:t xml:space="preserve">relay/AiTM residual risk is the most significant open item in the</w:t>
      </w:r>
      <w:r>
        <w:t xml:space="preserve"> </w:t>
      </w:r>
      <w:r>
        <w:t xml:space="preserve">current draft.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step-up-challenge subsystem is specified.</w:t>
      </w:r>
      <w:r>
        <w:t xml:space="preserve"> </w:t>
      </w:r>
      <w:r>
        <w:t xml:space="preserve">RFC-0001 defines the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 </w:t>
      </w:r>
      <w:r>
        <w:t xml:space="preserve">decision outcome but not the out-of-band challenge (OTP,</w:t>
      </w:r>
      <w:r>
        <w:t xml:space="preserve"> </w:t>
      </w:r>
      <w:r>
        <w:t xml:space="preserve">push approval, etc.) a Relying Party would need to implement to act</w:t>
      </w:r>
      <w:r>
        <w:t xml:space="preserve"> </w:t>
      </w:r>
      <w:r>
        <w:t xml:space="preserve">on it; §8.2’s history-scoring correction assumes step-up challenges,</w:t>
      </w:r>
      <w:r>
        <w:t xml:space="preserve"> </w:t>
      </w:r>
      <w:r>
        <w:t xml:space="preserve">when issued, are generally completed successfully, which the protocol</w:t>
      </w:r>
      <w:r>
        <w:t xml:space="preserve"> </w:t>
      </w:r>
      <w:r>
        <w:t xml:space="preserve">itself has no mechanism to verify.</w:t>
      </w:r>
    </w:p>
    <w:bookmarkEnd w:id="58"/>
    <w:bookmarkStart w:id="59" w:name="reference-implementation-limitations"/>
    <w:p>
      <w:pPr>
        <w:pStyle w:val="Heading2"/>
      </w:pPr>
      <w:r>
        <w:t xml:space="preserve">12.2 Reference-implementation 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In-memory consent and in-flight-handshake state</w:t>
      </w:r>
      <w:r>
        <w:t xml:space="preserve"> </w:t>
      </w:r>
      <w:r>
        <w:t xml:space="preserve">in the reference</w:t>
      </w:r>
      <w:r>
        <w:t xml:space="preserve"> </w:t>
      </w:r>
      <w:r>
        <w:t xml:space="preserve">server (only subject baselines and trust history are SQLite-backed);</w:t>
      </w:r>
      <w:r>
        <w:t xml:space="preserve"> </w:t>
      </w:r>
      <w:r>
        <w:t xml:space="preserve">a process restart loses any handshake that has not yet completed.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Single-node SQLite persistence</w:t>
      </w:r>
      <w:r>
        <w:t xml:space="preserve"> </w:t>
      </w:r>
      <w:r>
        <w:t xml:space="preserve">— no clustering, replication, or</w:t>
      </w:r>
      <w:r>
        <w:t xml:space="preserve"> </w:t>
      </w:r>
      <w:r>
        <w:t xml:space="preserve">concurrent-writer story; adequate for the reference implementation’s</w:t>
      </w:r>
      <w:r>
        <w:t xml:space="preserve"> </w:t>
      </w:r>
      <w:r>
        <w:t xml:space="preserve">demonstrative purpose, not for a multi-instance production deployment</w:t>
      </w:r>
      <w:r>
        <w:t xml:space="preserve"> </w:t>
      </w:r>
      <w:r>
        <w:t xml:space="preserve">without modification.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rate-limiting middleware wired into the reference server</w:t>
      </w:r>
      <w:r>
        <w:t xml:space="preserve">,</w:t>
      </w:r>
      <w:r>
        <w:t xml:space="preserve"> </w:t>
      </w:r>
      <w:r>
        <w:t xml:space="preserve">despite the threat model (§10.3) assuming its presence; this is</w:t>
      </w:r>
      <w:r>
        <w:t xml:space="preserve"> </w:t>
      </w:r>
      <w:r>
        <w:t xml:space="preserve">explicitly noted in the server module’s own documentation as a gap a</w:t>
      </w:r>
      <w:r>
        <w:t xml:space="preserve"> </w:t>
      </w:r>
      <w:r>
        <w:t xml:space="preserve">deployer must close, not a false claim of completeness.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Only two of seven originally-scoped SDK languages are implemented</w:t>
      </w:r>
      <w:r>
        <w:t xml:space="preserve"> </w:t>
      </w:r>
      <w:r>
        <w:t xml:space="preserve">(Python reference, TypeScript client — §9); Rust, Go, Java, C#, and</w:t>
      </w:r>
      <w:r>
        <w:t xml:space="preserve"> </w:t>
      </w:r>
      <w:r>
        <w:t xml:space="preserve">C++ SDKs remain unimplemented.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fuzz/property-based testing of the REST API layer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reference/server/api.py</w:t>
      </w:r>
      <w:r>
        <w:t xml:space="preserve">) — §8’s property-based tests exercise the</w:t>
      </w:r>
      <w:r>
        <w:t xml:space="preserve"> </w:t>
      </w:r>
      <w:r>
        <w:t xml:space="preserve">underlying protocol engines directly; the HTTP/FastAPI request-handling</w:t>
      </w:r>
      <w:r>
        <w:t xml:space="preserve"> </w:t>
      </w:r>
      <w:r>
        <w:t xml:space="preserve">layer has only example-based test coverage via the integration demo</w:t>
      </w:r>
      <w:r>
        <w:t xml:space="preserve"> </w:t>
      </w:r>
      <w:r>
        <w:t xml:space="preserve">scripts.</w:t>
      </w:r>
    </w:p>
    <w:bookmarkEnd w:id="59"/>
    <w:bookmarkStart w:id="60" w:name="this-papers-own-limitations"/>
    <w:p>
      <w:pPr>
        <w:pStyle w:val="Heading2"/>
      </w:pPr>
      <w:r>
        <w:t xml:space="preserve">12.3 This paper’s own limitations</w:t>
      </w:r>
    </w:p>
    <w:p>
      <w:pPr>
        <w:pStyle w:val="FirstParagraph"/>
      </w:pPr>
      <w:r>
        <w:t xml:space="preserve">This paper reports results from a reference implementation built and</w:t>
      </w:r>
      <w:r>
        <w:t xml:space="preserve"> </w:t>
      </w:r>
      <w:r>
        <w:t xml:space="preserve">tested by a single working group over a short development window, not</w:t>
      </w:r>
      <w:r>
        <w:t xml:space="preserve"> </w:t>
      </w:r>
      <w:r>
        <w:t xml:space="preserve">from an independently-audited, adversarially red-teamed, or</w:t>
      </w:r>
      <w:r>
        <w:t xml:space="preserve"> </w:t>
      </w:r>
      <w:r>
        <w:t xml:space="preserve">production-deployed system. The performance figures (§11) are</w:t>
      </w:r>
      <w:r>
        <w:t xml:space="preserve"> </w:t>
      </w:r>
      <w:r>
        <w:t xml:space="preserve">micro-benchmarks on a single machine, not a load-tested distributed</w:t>
      </w:r>
      <w:r>
        <w:t xml:space="preserve"> </w:t>
      </w:r>
      <w:r>
        <w:t xml:space="preserve">deployment. The</w:t>
      </w:r>
      <w:r>
        <w:t xml:space="preserve"> </w:t>
      </w:r>
      <w:r>
        <w:t xml:space="preserve">“</w:t>
      </w:r>
      <w:r>
        <w:t xml:space="preserve">related work</w:t>
      </w:r>
      <w:r>
        <w:t xml:space="preserve">”</w:t>
      </w:r>
      <w:r>
        <w:t xml:space="preserve"> </w:t>
      </w:r>
      <w:r>
        <w:t xml:space="preserve">comparison (§2) is a design-goals</w:t>
      </w:r>
      <w:r>
        <w:t xml:space="preserve"> </w:t>
      </w:r>
      <w:r>
        <w:t xml:space="preserve">comparison, not a formal security-property equivalence proof against</w:t>
      </w:r>
      <w:r>
        <w:t xml:space="preserve"> </w:t>
      </w:r>
      <w:r>
        <w:t xml:space="preserve">TLS, OAuth, or FIDO2. No claim of formal, machine-checked security</w:t>
      </w:r>
      <w:r>
        <w:t xml:space="preserve"> </w:t>
      </w:r>
      <w:r>
        <w:t xml:space="preserve">proof (e.g. in the style of a symbolic-model verification tool such as</w:t>
      </w:r>
      <w:r>
        <w:t xml:space="preserve"> </w:t>
      </w:r>
      <w:r>
        <w:t xml:space="preserve">ProVerif or Tamarin) is made for any part of this protocol; this is</w:t>
      </w:r>
      <w:r>
        <w:t xml:space="preserve"> </w:t>
      </w:r>
      <w:r>
        <w:t xml:space="preserve">identified as future work (§13), not silently omitted.</w:t>
      </w:r>
    </w:p>
    <w:bookmarkEnd w:id="60"/>
    <w:bookmarkEnd w:id="61"/>
    <w:bookmarkStart w:id="62" w:name="future-work"/>
    <w:p>
      <w:pPr>
        <w:pStyle w:val="Heading1"/>
      </w:pPr>
      <w:r>
        <w:t xml:space="preserve">13. Future Work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Formal, machine-checked verification</w:t>
      </w:r>
      <w:r>
        <w:t xml:space="preserve"> </w:t>
      </w:r>
      <w:r>
        <w:t xml:space="preserve">of the handshake’s replay-</w:t>
      </w:r>
      <w:r>
        <w:t xml:space="preserve"> </w:t>
      </w:r>
      <w:r>
        <w:t xml:space="preserve">and forward-secrecy properties using a symbolic protocol verifier.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TLS channel binding</w:t>
      </w:r>
      <w:r>
        <w:t xml:space="preserve"> </w:t>
      </w:r>
      <w:r>
        <w:t xml:space="preserve">(RFC 9266) implementation, upgrading §10.1’s</w:t>
      </w:r>
      <w:r>
        <w:t xml:space="preserve"> </w:t>
      </w:r>
      <w:r>
        <w:t xml:space="preserve">SHOULD to a MUST once a channel-binding profile is specified.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Post-quantum-hybrid cipher suite</w:t>
      </w:r>
      <w:r>
        <w:t xml:space="preserve"> </w:t>
      </w:r>
      <w:r>
        <w:t xml:space="preserve">as an additional, negotiable</w:t>
      </w:r>
      <w:r>
        <w:t xml:space="preserve"> </w:t>
      </w:r>
      <w:r>
        <w:rPr>
          <w:rStyle w:val="VerbatimChar"/>
        </w:rPr>
        <w:t xml:space="preserve">supported_suites</w:t>
      </w:r>
      <w:r>
        <w:t xml:space="preserve"> </w:t>
      </w:r>
      <w:r>
        <w:t xml:space="preserve">option alongside the current classical suite.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specified step-up-challenge subsystem</w:t>
      </w:r>
      <w:r>
        <w:t xml:space="preserve">, closing the gap noted</w:t>
      </w:r>
      <w:r>
        <w:t xml:space="preserve"> </w:t>
      </w:r>
      <w:r>
        <w:t xml:space="preserve">in §12.1.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Additional-language SDKs</w:t>
      </w:r>
      <w:r>
        <w:t xml:space="preserve"> </w:t>
      </w:r>
      <w:r>
        <w:t xml:space="preserve">(Rust, Go, Java, C#, C++), each adding</w:t>
      </w:r>
      <w:r>
        <w:t xml:space="preserve"> </w:t>
      </w:r>
      <w:r>
        <w:t xml:space="preserve">a further independent interoperability data point beyond the</w:t>
      </w:r>
      <w:r>
        <w:t xml:space="preserve"> </w:t>
      </w:r>
      <w:r>
        <w:t xml:space="preserve">Python/TypeScript pair reported here (§9).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Fuzz/property-based testing extended to the REST API layer</w:t>
      </w:r>
      <w:r>
        <w:t xml:space="preserve"> </w:t>
      </w:r>
      <w:r>
        <w:t xml:space="preserve">itself, closing the gap noted in §12.2.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formal security/performance evaluation under concurrent,</w:t>
      </w:r>
      <w:r>
        <w:rPr>
          <w:bCs/>
          <w:b/>
        </w:rPr>
        <w:t xml:space="preserve"> </w:t>
      </w:r>
      <w:r>
        <w:rPr>
          <w:bCs/>
          <w:b/>
        </w:rPr>
        <w:t xml:space="preserve">multi-instance, production-representative load</w:t>
      </w:r>
      <w:r>
        <w:t xml:space="preserve">, which this paper’s</w:t>
      </w:r>
      <w:r>
        <w:t xml:space="preserve"> </w:t>
      </w:r>
      <w:r>
        <w:t xml:space="preserve">single-machine micro-benchmarks (§11) do not attempt to substitute</w:t>
      </w:r>
      <w:r>
        <w:t xml:space="preserve"> </w:t>
      </w:r>
      <w:r>
        <w:t xml:space="preserve">for.</w:t>
      </w:r>
    </w:p>
    <w:bookmarkEnd w:id="62"/>
    <w:bookmarkStart w:id="63" w:name="conclusion"/>
    <w:p>
      <w:pPr>
        <w:pStyle w:val="Heading1"/>
      </w:pPr>
      <w:r>
        <w:t xml:space="preserve">14. Conclusion</w:t>
      </w:r>
    </w:p>
    <w:p>
      <w:pPr>
        <w:pStyle w:val="FirstParagraph"/>
      </w:pPr>
      <w:r>
        <w:t xml:space="preserve">We have presented RFC-0001, a complete normative specification for a</w:t>
      </w:r>
      <w:r>
        <w:t xml:space="preserve"> </w:t>
      </w:r>
      <w:r>
        <w:t xml:space="preserve">session-duration, continuously-verified identity and trust protocol; a</w:t>
      </w:r>
      <w:r>
        <w:t xml:space="preserve"> </w:t>
      </w:r>
      <w:r>
        <w:t xml:space="preserve">formal mathematical model for its central Trust Score computation,</w:t>
      </w:r>
      <w:r>
        <w:t xml:space="preserve"> </w:t>
      </w:r>
      <w:r>
        <w:t xml:space="preserve">including a fully worked and unit-tested numeric example; and a</w:t>
      </w:r>
      <w:r>
        <w:t xml:space="preserve"> </w:t>
      </w:r>
      <w:r>
        <w:t xml:space="preserve">reference implementation in two independent languages, verified</w:t>
      </w:r>
      <w:r>
        <w:t xml:space="preserve"> </w:t>
      </w:r>
      <w:r>
        <w:t xml:space="preserve">interoperable at the level of byte-identical cryptographic output, not</w:t>
      </w:r>
      <w:r>
        <w:t xml:space="preserve"> </w:t>
      </w:r>
      <w:r>
        <w:t xml:space="preserve">merely similar-looking behavior. We have additionally reported, in</w:t>
      </w:r>
      <w:r>
        <w:t xml:space="preserve"> </w:t>
      </w:r>
      <w:r>
        <w:t xml:space="preserve">full and without omission, five real defects found during this work —</w:t>
      </w:r>
      <w:r>
        <w:t xml:space="preserve"> </w:t>
      </w:r>
      <w:r>
        <w:t xml:space="preserve">two in the formal model itself, one a remotely-exploitable</w:t>
      </w:r>
      <w:r>
        <w:t xml:space="preserve"> </w:t>
      </w:r>
      <w:r>
        <w:t xml:space="preserve">denial-of-service condition, and two in cross-language interoperability</w:t>
      </w:r>
      <w:r>
        <w:t xml:space="preserve"> </w:t>
      </w:r>
      <w:r>
        <w:t xml:space="preserve">— together with the specific testing methodology (property-based fuzz</w:t>
      </w:r>
      <w:r>
        <w:t xml:space="preserve"> </w:t>
      </w:r>
      <w:r>
        <w:t xml:space="preserve">testing and independent-implementation parity testing) that found each</w:t>
      </w:r>
      <w:r>
        <w:t xml:space="preserve"> </w:t>
      </w:r>
      <w:r>
        <w:t xml:space="preserve">one. We consider this transparent defect-reporting, together with the</w:t>
      </w:r>
      <w:r>
        <w:t xml:space="preserve"> </w:t>
      </w:r>
      <w:r>
        <w:t xml:space="preserve">explicit, unpadded limitations list in §12, to be as much a</w:t>
      </w:r>
      <w:r>
        <w:t xml:space="preserve"> </w:t>
      </w:r>
      <w:r>
        <w:t xml:space="preserve">contribution of this paper as the protocol specification itself: a</w:t>
      </w:r>
      <w:r>
        <w:t xml:space="preserve"> </w:t>
      </w:r>
      <w:r>
        <w:t xml:space="preserve">security-relevant specification’s credibility rests on the rigor of</w:t>
      </w:r>
      <w:r>
        <w:t xml:space="preserve"> </w:t>
      </w:r>
      <w:r>
        <w:t xml:space="preserve">its validation being visible, not on the absence of visible defects.</w:t>
      </w:r>
    </w:p>
    <w:p>
      <w:pPr>
        <w:pStyle w:val="BodyText"/>
      </w:pPr>
      <w:r>
        <w:t xml:space="preserve">IDP remains a draft protocol proposal and a research-grade reference</w:t>
      </w:r>
      <w:r>
        <w:t xml:space="preserve"> </w:t>
      </w:r>
      <w:r>
        <w:t xml:space="preserve">implementation. It is not an adopted standard, and this paper makes no</w:t>
      </w:r>
      <w:r>
        <w:t xml:space="preserve"> </w:t>
      </w:r>
      <w:r>
        <w:t xml:space="preserve">claim that it is production-ready without the further work enumerated</w:t>
      </w:r>
      <w:r>
        <w:t xml:space="preserve"> </w:t>
      </w:r>
      <w:r>
        <w:t xml:space="preserve">in §13. It is offered as a concrete, implementable, and independently</w:t>
      </w:r>
      <w:r>
        <w:t xml:space="preserve"> </w:t>
      </w:r>
      <w:r>
        <w:t xml:space="preserve">validated starting point for continuous, session-duration trust</w:t>
      </w:r>
      <w:r>
        <w:t xml:space="preserve"> </w:t>
      </w:r>
      <w:r>
        <w:t xml:space="preserve">evaluation — a property we believe the</w:t>
      </w:r>
      <w:r>
        <w:t xml:space="preserve"> </w:t>
      </w:r>
      <w:r>
        <w:t xml:space="preserve">“</w:t>
      </w:r>
      <w:r>
        <w:t xml:space="preserve">authenticate once</w:t>
      </w:r>
      <w:r>
        <w:t xml:space="preserve">”</w:t>
      </w:r>
      <w:r>
        <w:t xml:space="preserve"> </w:t>
      </w:r>
      <w:r>
        <w:t xml:space="preserve">model</w:t>
      </w:r>
      <w:r>
        <w:t xml:space="preserve"> </w:t>
      </w:r>
      <w:r>
        <w:t xml:space="preserve">underlying most deployed protocols today does not adequately provide.</w:t>
      </w:r>
    </w:p>
    <w:bookmarkEnd w:id="63"/>
    <w:bookmarkStart w:id="64" w:name="bibliography"/>
    <w:p>
      <w:pPr>
        <w:pStyle w:val="Heading1"/>
      </w:pPr>
      <w:r>
        <w:t xml:space="preserve">Bibliography</w:t>
      </w:r>
    </w:p>
    <w:p>
      <w:pPr>
        <w:pStyle w:val="FirstParagraph"/>
      </w:pPr>
      <w:r>
        <w:t xml:space="preserve">[Biryukov2016] Biryukov, A., Dinu, D., Khovratovich, D.</w:t>
      </w:r>
      <w:r>
        <w:t xml:space="preserve"> </w:t>
      </w:r>
      <w:r>
        <w:t xml:space="preserve">“</w:t>
      </w:r>
      <w:r>
        <w:t xml:space="preserve">Argon2: New</w:t>
      </w:r>
      <w:r>
        <w:t xml:space="preserve"> </w:t>
      </w:r>
      <w:r>
        <w:t xml:space="preserve">Generation of Memory-Hard Functions for Password Hashing and Other</w:t>
      </w:r>
      <w:r>
        <w:t xml:space="preserve"> </w:t>
      </w:r>
      <w:r>
        <w:t xml:space="preserve">Applications.</w:t>
      </w:r>
      <w:r>
        <w:t xml:space="preserve">”</w:t>
      </w:r>
      <w:r>
        <w:t xml:space="preserve"> </w:t>
      </w:r>
      <w:r>
        <w:rPr>
          <w:iCs/>
          <w:i/>
        </w:rPr>
        <w:t xml:space="preserve">IEEE European Symposium on Security and Privacy</w:t>
      </w:r>
      <w:r>
        <w:t xml:space="preserve">, 2016.</w:t>
      </w:r>
    </w:p>
    <w:p>
      <w:pPr>
        <w:pStyle w:val="BodyText"/>
      </w:pPr>
      <w:r>
        <w:t xml:space="preserve">[Kolter2005] Kolter, J.Z., Maloof, M.A. </w:t>
      </w:r>
      <w:r>
        <w:t xml:space="preserve">“</w:t>
      </w:r>
      <w:r>
        <w:t xml:space="preserve">Using Additive Expert</w:t>
      </w:r>
      <w:r>
        <w:t xml:space="preserve"> </w:t>
      </w:r>
      <w:r>
        <w:t xml:space="preserve">Ensembles to Cope with Concept Drift.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22nd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Machine Learning</w:t>
      </w:r>
      <w:r>
        <w:t xml:space="preserve">, 2005. (Representative</w:t>
      </w:r>
      <w:r>
        <w:t xml:space="preserve"> </w:t>
      </w:r>
      <w:r>
        <w:t xml:space="preserve">of the broader adaptive/continuous-authentication literature this work</w:t>
      </w:r>
      <w:r>
        <w:t xml:space="preserve"> </w:t>
      </w:r>
      <w:r>
        <w:t xml:space="preserve">draws its motivation from.)</w:t>
      </w:r>
    </w:p>
    <w:p>
      <w:pPr>
        <w:pStyle w:val="BodyText"/>
      </w:pPr>
      <w:r>
        <w:t xml:space="preserve">[MacIver2019] MacIver, D.R., Hatfield-Dodds, Z., et al. </w:t>
      </w:r>
      <w:r>
        <w:t xml:space="preserve">“</w:t>
      </w:r>
      <w:r>
        <w:t xml:space="preserve">Hypothesis: A</w:t>
      </w:r>
      <w:r>
        <w:t xml:space="preserve"> </w:t>
      </w:r>
      <w:r>
        <w:t xml:space="preserve">new approach to property-based testing.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Open Source</w:t>
      </w:r>
      <w:r>
        <w:rPr>
          <w:iCs/>
          <w:i/>
        </w:rPr>
        <w:t xml:space="preserve"> </w:t>
      </w:r>
      <w:r>
        <w:rPr>
          <w:iCs/>
          <w:i/>
        </w:rPr>
        <w:t xml:space="preserve">Software</w:t>
      </w:r>
      <w:r>
        <w:t xml:space="preserve">, 4(43), 1891, 2019.</w:t>
      </w:r>
    </w:p>
    <w:p>
      <w:pPr>
        <w:pStyle w:val="BodyText"/>
      </w:pPr>
      <w:r>
        <w:t xml:space="preserve">[NIST-800-207] Rose, S., Borchert, O., Mitchell, S., Connelly, S.</w:t>
      </w:r>
      <w:r>
        <w:t xml:space="preserve"> </w:t>
      </w:r>
      <w:r>
        <w:t xml:space="preserve">“</w:t>
      </w:r>
      <w:r>
        <w:t xml:space="preserve">Zero Trust Architecture.</w:t>
      </w:r>
      <w:r>
        <w:t xml:space="preserve">”</w:t>
      </w:r>
      <w:r>
        <w:t xml:space="preserve"> </w:t>
      </w:r>
      <w:r>
        <w:rPr>
          <w:iCs/>
          <w:i/>
        </w:rPr>
        <w:t xml:space="preserve">NIST Special Publication 800-207</w:t>
      </w:r>
      <w:r>
        <w:t xml:space="preserve">,</w:t>
      </w:r>
      <w:r>
        <w:t xml:space="preserve"> </w:t>
      </w:r>
      <w:r>
        <w:t xml:space="preserve">National Institute of Standards and Technology, 2020.</w:t>
      </w:r>
    </w:p>
    <w:p>
      <w:pPr>
        <w:pStyle w:val="BodyText"/>
      </w:pPr>
      <w:r>
        <w:t xml:space="preserve">[OConnor2020] O’Connor, J., Aumasson, J-P., Neves, S., Wilcox-O’Hearn,</w:t>
      </w:r>
      <w:r>
        <w:t xml:space="preserve"> </w:t>
      </w:r>
      <w:r>
        <w:t xml:space="preserve">Z.</w:t>
      </w:r>
      <w:r>
        <w:t xml:space="preserve"> </w:t>
      </w:r>
      <w:r>
        <w:t xml:space="preserve">“</w:t>
      </w:r>
      <w:r>
        <w:t xml:space="preserve">BLAKE3: One Function, Fast Everywhere.</w:t>
      </w:r>
      <w:r>
        <w:t xml:space="preserve">”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[RFC5869] Krawczyk, H., Eronen, P.</w:t>
      </w:r>
      <w:r>
        <w:t xml:space="preserve"> </w:t>
      </w:r>
      <w:r>
        <w:t xml:space="preserve">“</w:t>
      </w:r>
      <w:r>
        <w:t xml:space="preserve">HMAC-based Extract-and-Expand Key</w:t>
      </w:r>
      <w:r>
        <w:t xml:space="preserve"> </w:t>
      </w:r>
      <w:r>
        <w:t xml:space="preserve">Derivation Function (HKDF).</w:t>
      </w:r>
      <w:r>
        <w:t xml:space="preserve">”</w:t>
      </w:r>
      <w:r>
        <w:t xml:space="preserve"> </w:t>
      </w:r>
      <w:r>
        <w:rPr>
          <w:iCs/>
          <w:i/>
        </w:rPr>
        <w:t xml:space="preserve">RFC 5869</w:t>
      </w:r>
      <w:r>
        <w:t xml:space="preserve">, IETF, 2010.</w:t>
      </w:r>
    </w:p>
    <w:p>
      <w:pPr>
        <w:pStyle w:val="BodyText"/>
      </w:pPr>
      <w:r>
        <w:t xml:space="preserve">[RFC6749] Hardt, D., ed. </w:t>
      </w:r>
      <w:r>
        <w:t xml:space="preserve">“</w:t>
      </w:r>
      <w:r>
        <w:t xml:space="preserve">The OAuth 2.0 Authorization Framework.</w:t>
      </w:r>
      <w:r>
        <w:t xml:space="preserve">”</w:t>
      </w:r>
      <w:r>
        <w:t xml:space="preserve"> </w:t>
      </w:r>
      <w:r>
        <w:rPr>
          <w:iCs/>
          <w:i/>
        </w:rPr>
        <w:t xml:space="preserve">RFC</w:t>
      </w:r>
      <w:r>
        <w:rPr>
          <w:iCs/>
          <w:i/>
        </w:rPr>
        <w:t xml:space="preserve"> </w:t>
      </w:r>
      <w:r>
        <w:rPr>
          <w:iCs/>
          <w:i/>
        </w:rPr>
        <w:t xml:space="preserve">6749</w:t>
      </w:r>
      <w:r>
        <w:t xml:space="preserve">, IETF, 2012.</w:t>
      </w:r>
    </w:p>
    <w:p>
      <w:pPr>
        <w:pStyle w:val="BodyText"/>
      </w:pPr>
      <w:r>
        <w:t xml:space="preserve">[RFC7748] Langley, A., Hamburg, M., Turner, S.</w:t>
      </w:r>
      <w:r>
        <w:t xml:space="preserve"> </w:t>
      </w:r>
      <w:r>
        <w:t xml:space="preserve">“</w:t>
      </w:r>
      <w:r>
        <w:t xml:space="preserve">Elliptic Curves for</w:t>
      </w:r>
      <w:r>
        <w:t xml:space="preserve"> </w:t>
      </w:r>
      <w:r>
        <w:t xml:space="preserve">Security.</w:t>
      </w:r>
      <w:r>
        <w:t xml:space="preserve">”</w:t>
      </w:r>
      <w:r>
        <w:t xml:space="preserve"> </w:t>
      </w:r>
      <w:r>
        <w:rPr>
          <w:iCs/>
          <w:i/>
        </w:rPr>
        <w:t xml:space="preserve">RFC 7748</w:t>
      </w:r>
      <w:r>
        <w:t xml:space="preserve">, IETF, 2016.</w:t>
      </w:r>
    </w:p>
    <w:p>
      <w:pPr>
        <w:pStyle w:val="BodyText"/>
      </w:pPr>
      <w:r>
        <w:t xml:space="preserve">[RFC8032] Josefsson, S., Liusvaara, I.</w:t>
      </w:r>
      <w:r>
        <w:t xml:space="preserve"> </w:t>
      </w:r>
      <w:r>
        <w:t xml:space="preserve">“</w:t>
      </w:r>
      <w:r>
        <w:t xml:space="preserve">Edwards-Curve Digital Signature</w:t>
      </w:r>
      <w:r>
        <w:t xml:space="preserve"> </w:t>
      </w:r>
      <w:r>
        <w:t xml:space="preserve">Algorithm (EdDSA).</w:t>
      </w:r>
      <w:r>
        <w:t xml:space="preserve">”</w:t>
      </w:r>
      <w:r>
        <w:t xml:space="preserve"> </w:t>
      </w:r>
      <w:r>
        <w:rPr>
          <w:iCs/>
          <w:i/>
        </w:rPr>
        <w:t xml:space="preserve">RFC 8032</w:t>
      </w:r>
      <w:r>
        <w:t xml:space="preserve">, IETF, 2017.</w:t>
      </w:r>
    </w:p>
    <w:p>
      <w:pPr>
        <w:pStyle w:val="BodyText"/>
      </w:pPr>
      <w:r>
        <w:t xml:space="preserve">[RFC8439] Nir, Y., Langley, A.</w:t>
      </w:r>
      <w:r>
        <w:t xml:space="preserve"> </w:t>
      </w:r>
      <w:r>
        <w:t xml:space="preserve">“</w:t>
      </w:r>
      <w:r>
        <w:t xml:space="preserve">ChaCha20 and Poly1305 for IETF</w:t>
      </w:r>
      <w:r>
        <w:t xml:space="preserve"> </w:t>
      </w:r>
      <w:r>
        <w:t xml:space="preserve">Protocols.</w:t>
      </w:r>
      <w:r>
        <w:t xml:space="preserve">”</w:t>
      </w:r>
      <w:r>
        <w:t xml:space="preserve"> </w:t>
      </w:r>
      <w:r>
        <w:rPr>
          <w:iCs/>
          <w:i/>
        </w:rPr>
        <w:t xml:space="preserve">RFC 8439</w:t>
      </w:r>
      <w:r>
        <w:t xml:space="preserve">, IETF, 2018.</w:t>
      </w:r>
    </w:p>
    <w:p>
      <w:pPr>
        <w:pStyle w:val="BodyText"/>
      </w:pPr>
      <w:r>
        <w:t xml:space="preserve">[RFC8446] Rescorla, E.</w:t>
      </w:r>
      <w:r>
        <w:t xml:space="preserve"> </w:t>
      </w:r>
      <w:r>
        <w:t xml:space="preserve">“</w:t>
      </w:r>
      <w:r>
        <w:t xml:space="preserve">The Transport Layer Security (TLS) Protocol</w:t>
      </w:r>
      <w:r>
        <w:t xml:space="preserve"> </w:t>
      </w:r>
      <w:r>
        <w:t xml:space="preserve">Version 1.3.</w:t>
      </w:r>
      <w:r>
        <w:t xml:space="preserve">”</w:t>
      </w:r>
      <w:r>
        <w:t xml:space="preserve"> </w:t>
      </w:r>
      <w:r>
        <w:rPr>
          <w:iCs/>
          <w:i/>
        </w:rPr>
        <w:t xml:space="preserve">RFC 8446</w:t>
      </w:r>
      <w:r>
        <w:t xml:space="preserve">, IETF, 2018.</w:t>
      </w:r>
    </w:p>
    <w:p>
      <w:pPr>
        <w:pStyle w:val="BodyText"/>
      </w:pPr>
      <w:r>
        <w:t xml:space="preserve">[RFC8785] Rundgren, A., Jordan, B., Erdtman, S.</w:t>
      </w:r>
      <w:r>
        <w:t xml:space="preserve"> </w:t>
      </w:r>
      <w:r>
        <w:t xml:space="preserve">“</w:t>
      </w:r>
      <w:r>
        <w:t xml:space="preserve">JSON Canonicalization</w:t>
      </w:r>
      <w:r>
        <w:t xml:space="preserve"> </w:t>
      </w:r>
      <w:r>
        <w:t xml:space="preserve">Scheme (JCS).</w:t>
      </w:r>
      <w:r>
        <w:t xml:space="preserve">”</w:t>
      </w:r>
      <w:r>
        <w:t xml:space="preserve"> </w:t>
      </w:r>
      <w:r>
        <w:rPr>
          <w:iCs/>
          <w:i/>
        </w:rPr>
        <w:t xml:space="preserve">RFC 8785</w:t>
      </w:r>
      <w:r>
        <w:t xml:space="preserve">, IETF, 2020.</w:t>
      </w:r>
    </w:p>
    <w:p>
      <w:pPr>
        <w:pStyle w:val="BodyText"/>
      </w:pPr>
      <w:r>
        <w:t xml:space="preserve">[RFC9266] Bishop, M.</w:t>
      </w:r>
      <w:r>
        <w:t xml:space="preserve"> </w:t>
      </w:r>
      <w:r>
        <w:t xml:space="preserve">“</w:t>
      </w:r>
      <w:r>
        <w:t xml:space="preserve">Channel Bindings for TLS 1.3.</w:t>
      </w:r>
      <w:r>
        <w:t xml:space="preserve">”</w:t>
      </w:r>
      <w:r>
        <w:t xml:space="preserve"> </w:t>
      </w:r>
      <w:r>
        <w:rPr>
          <w:iCs/>
          <w:i/>
        </w:rPr>
        <w:t xml:space="preserve">RFC 9266</w:t>
      </w:r>
      <w:r>
        <w:t xml:space="preserve">, IETF,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[W3C-WebAuthn] W3C.</w:t>
      </w:r>
      <w:r>
        <w:t xml:space="preserve"> </w:t>
      </w:r>
      <w:r>
        <w:t xml:space="preserve">“</w:t>
      </w:r>
      <w:r>
        <w:t xml:space="preserve">Web Authentication: An API for accessing Public</w:t>
      </w:r>
      <w:r>
        <w:t xml:space="preserve"> </w:t>
      </w:r>
      <w:r>
        <w:t xml:space="preserve">Key Credentials — Level 2.</w:t>
      </w:r>
      <w:r>
        <w:t xml:space="preserve">”</w:t>
      </w:r>
      <w:r>
        <w:t xml:space="preserve"> </w:t>
      </w:r>
      <w:r>
        <w:rPr>
          <w:iCs/>
          <w:i/>
        </w:rPr>
        <w:t xml:space="preserve">W3C Recommendation</w:t>
      </w:r>
      <w:r>
        <w:t xml:space="preserve">, 2021.</w:t>
      </w:r>
    </w:p>
    <w:bookmarkEnd w:id="64"/>
    <w:bookmarkStart w:id="65" w:name="X2a342200458301efa9000e94fa44a2bad0fb767"/>
    <w:p>
      <w:pPr>
        <w:pStyle w:val="Heading1"/>
      </w:pPr>
      <w:r>
        <w:t xml:space="preserve">Appendix A: Error Code Registry (RFC-0001 §6)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ERR_VERSION_UNSUPPORTED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Unknown/unsupported protocol major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msg_id</w:t>
            </w:r>
            <w:r>
              <w:t xml:space="preserve"> </w:t>
            </w:r>
            <w:r>
              <w:t xml:space="preserve">reused within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ERR_CLOCK_SKEW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outside tolerance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(after resync)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ERR_STATE_INVALID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not valid in 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ERR_CONSENT_MISSING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valid consent receipt for entropy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ERR_SUITE_UNSUPPORTED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overlap in supported cipher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ERR_SIGNATURE_INVALID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signature verification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ERR_TRUST_INSUFFICIENT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score below policy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ERR_SESSION_EXPIRED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expiry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must re-handshake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ERR_SESSION_REVOKED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was explicitly 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attempts from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(backoff)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ERR_MALFORMED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Envelope/body fails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65"/>
    <w:bookmarkStart w:id="66" w:name="X4241eab8545fb89bacbfb28225625310c0cd5c5"/>
    <w:p>
      <w:pPr>
        <w:pStyle w:val="Heading1"/>
      </w:pPr>
      <w:r>
        <w:t xml:space="preserve">Appendix B: Reference Implementation Statistics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reference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1,876 lines, 26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suite (Python: unit + property-based + integration + interop)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suite 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Property-based test examples per full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~4,500–13,500 (45 tests × 100–300 examples)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Defects found via property-based / interop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(documented in full, §8–§9)</w:t>
            </w:r>
          </w:p>
        </w:tc>
      </w:tr>
    </w:tbl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IdentityDNA Protocol: A Continuously-Verified, Privacy-Preserving Identity and Trust Framework</dc:title>
  <dc:creator>IdentityDNA Protocol Working Group</dc:creator>
  <cp:keywords/>
  <dcterms:created xsi:type="dcterms:W3CDTF">2026-08-07T07:48:09Z</dcterms:created>
  <dcterms:modified xsi:type="dcterms:W3CDTF">2026-08-07T07:48:09Z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Reference Specification, Formal Model, and Engineering Validation — v1.0.0-draft</vt:lpwstr>
  </property>
</Properties>
</file>