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05E35">
      <w:pPr>
        <w:spacing w:line="267" w:lineRule="auto"/>
        <w:rPr>
          <w:rFonts w:hint="eastAsia" w:ascii="Arial" w:eastAsia="宋体"/>
          <w:sz w:val="21"/>
          <w:lang w:val="en-US" w:eastAsia="zh-CN"/>
        </w:rPr>
      </w:pPr>
    </w:p>
    <w:p w14:paraId="0FBF5D9C">
      <w:pPr>
        <w:spacing w:line="267" w:lineRule="auto"/>
        <w:rPr>
          <w:rFonts w:hint="eastAsia" w:ascii="Arial" w:eastAsia="宋体"/>
          <w:sz w:val="21"/>
          <w:lang w:val="en-US" w:eastAsia="zh-CN"/>
        </w:rPr>
      </w:pPr>
    </w:p>
    <w:p w14:paraId="5FA85FED">
      <w:pPr>
        <w:pStyle w:val="5"/>
        <w:spacing w:before="97" w:line="220" w:lineRule="auto"/>
        <w:ind w:left="33"/>
        <w:outlineLvl w:val="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 xml:space="preserve">1.   </w:t>
      </w:r>
      <w:r>
        <w:rPr>
          <w:b/>
          <w:bCs/>
          <w:spacing w:val="-6"/>
          <w:sz w:val="30"/>
          <w:szCs w:val="30"/>
        </w:rPr>
        <w:t>阅读文献来源</w:t>
      </w:r>
    </w:p>
    <w:p w14:paraId="43FD6046">
      <w:pPr>
        <w:spacing w:line="315" w:lineRule="auto"/>
        <w:rPr>
          <w:rFonts w:ascii="Arial"/>
          <w:sz w:val="21"/>
        </w:rPr>
      </w:pPr>
    </w:p>
    <w:p w14:paraId="5DB04BFE">
      <w:pPr>
        <w:spacing w:before="69" w:line="251" w:lineRule="auto"/>
        <w:ind w:left="15" w:right="1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pacing w:val="-1"/>
          <w:sz w:val="24"/>
          <w:szCs w:val="24"/>
        </w:rPr>
        <w:t>G. Carannante, N.C. Bouaynaya, D. Dera, H.M. Fathallah-Shaykh, G. Rasool. SUPER-Net: Trustworthy image segmentation via uncertainty propagation in encoder-decoder networks[J]. Pattern Recognition, 2026, 172: 112503.</w:t>
      </w:r>
    </w:p>
    <w:p w14:paraId="7EFEE101">
      <w:pPr>
        <w:spacing w:line="240" w:lineRule="auto"/>
        <w:ind w:firstLine="14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87010" cy="3128645"/>
            <wp:effectExtent l="0" t="0" r="8890" b="14605"/>
            <wp:docPr id="2" name="图片 2" descr="PattenRecog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ttenRecogni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DD9E">
      <w:pPr>
        <w:spacing w:line="326" w:lineRule="auto"/>
        <w:rPr>
          <w:rFonts w:ascii="Arial"/>
          <w:sz w:val="21"/>
        </w:rPr>
      </w:pPr>
    </w:p>
    <w:p w14:paraId="47385B2C">
      <w:pPr>
        <w:pStyle w:val="5"/>
        <w:spacing w:before="98" w:line="219" w:lineRule="auto"/>
        <w:ind w:left="21"/>
        <w:outlineLvl w:val="0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b/>
          <w:bCs/>
          <w:spacing w:val="31"/>
          <w:sz w:val="30"/>
          <w:szCs w:val="30"/>
        </w:rPr>
        <w:t xml:space="preserve">  </w:t>
      </w:r>
      <w:r>
        <w:rPr>
          <w:b/>
          <w:bCs/>
          <w:spacing w:val="-4"/>
          <w:sz w:val="30"/>
          <w:szCs w:val="30"/>
        </w:rPr>
        <w:t>论文待研究科学问题</w:t>
      </w:r>
    </w:p>
    <w:p w14:paraId="008C430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核心科学问题：如何在医学图像分割任务中，实现高效且可靠的像素级不确定性量化，从而提升深度学习模型在临床高风险场景下的可信度与鲁棒性？</w:t>
      </w:r>
    </w:p>
    <w:p w14:paraId="275C89C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具体分解为三个子问题：</w:t>
      </w:r>
    </w:p>
    <w:p w14:paraId="2B10FA6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不确定性缺失问题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：现有分割模型多为确定性模型，仅输出“点估计”（point estimate），无法评估自身预测的可靠性，当遇到噪声、分布外数据或对抗攻击时，模型会“盲目自信”地给出错误预测。</w:t>
      </w:r>
    </w:p>
    <w:p w14:paraId="0CC0F2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94628F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计算效率与不确定性质量的矛盾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：现有不确定性方法（如MC Dropout、模型集成）虽能提供不确定性估计，但需要在推理时多次前向传播或训练多个模型，计算成本高昂，难以满足实时医疗应用的需求。</w:t>
      </w:r>
    </w:p>
    <w:p w14:paraId="404E3BD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025B2E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不确定性传播的数学难题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：在编码器-解码器架构中，如何解析地传播高维参数后验分布的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一阶矩（均值）和二阶矩（协方差）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通过多种非线性层（如卷积、池化、上采样、拼接、Softmax），并确保整个传播过程可微、可训练，尚无系统性的数学框架。</w:t>
      </w:r>
    </w:p>
    <w:p w14:paraId="6AB7CCF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0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9E2F7DE">
      <w:pPr>
        <w:spacing w:line="261" w:lineRule="auto"/>
        <w:rPr>
          <w:rFonts w:ascii="Arial"/>
          <w:sz w:val="21"/>
        </w:rPr>
      </w:pPr>
    </w:p>
    <w:p w14:paraId="4E0914DC">
      <w:pPr>
        <w:pStyle w:val="5"/>
        <w:spacing w:before="97" w:line="219" w:lineRule="auto"/>
        <w:ind w:left="18"/>
        <w:outlineLvl w:val="0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3.</w:t>
      </w:r>
      <w:r>
        <w:rPr>
          <w:rFonts w:ascii="Times New Roman" w:hAnsi="Times New Roman" w:eastAsia="Times New Roman" w:cs="Times New Roman"/>
          <w:b/>
          <w:bCs/>
          <w:spacing w:val="29"/>
          <w:sz w:val="30"/>
          <w:szCs w:val="30"/>
        </w:rPr>
        <w:t xml:space="preserve">  </w:t>
      </w:r>
      <w:r>
        <w:rPr>
          <w:b/>
          <w:bCs/>
          <w:spacing w:val="-4"/>
          <w:sz w:val="30"/>
          <w:szCs w:val="30"/>
        </w:rPr>
        <w:t>作者研究动机</w:t>
      </w:r>
    </w:p>
    <w:p w14:paraId="545ED24C">
      <w:pPr>
        <w:spacing w:before="0" w:after="60" w:line="317" w:lineRule="auto"/>
        <w:ind w:firstLine="4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作者认为，医学场景中的分割模型不仅要“分得准”，还要能说明“有多可信”。传统 MC dropout、ensemble 等方法的不确定性多在推理时后验估计，既不能在训练中内生学习，也会显著增加测试阶段计算代价。</w:t>
      </w:r>
    </w:p>
    <w:p w14:paraId="64D68985">
      <w:pPr>
        <w:spacing w:before="0" w:after="60" w:line="317" w:lineRule="auto"/>
        <w:ind w:firstLine="4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作者此前已将 variational moments propagation (VMP) 用于 CNN 分类，但解码器中的上采样、padding、拼接等操作仍缺乏系统推导。本文的直接动机就是将 VMP 扩展到 U-Net 类 encoder-decoder 分割网络，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使不确定性能够贯穿编码器到解码器全过程。</w:t>
      </w:r>
    </w:p>
    <w:p w14:paraId="0EAB20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B11C9A7">
      <w:pPr>
        <w:spacing w:line="262" w:lineRule="auto"/>
        <w:rPr>
          <w:rFonts w:ascii="Arial"/>
          <w:sz w:val="21"/>
        </w:rPr>
      </w:pPr>
    </w:p>
    <w:p w14:paraId="5538C826">
      <w:pPr>
        <w:pStyle w:val="5"/>
        <w:numPr>
          <w:ilvl w:val="0"/>
          <w:numId w:val="1"/>
        </w:numPr>
        <w:spacing w:before="98" w:line="220" w:lineRule="auto"/>
        <w:ind w:left="21"/>
        <w:outlineLvl w:val="0"/>
        <w:rPr>
          <w:b/>
          <w:bCs/>
          <w:spacing w:val="-4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0"/>
          <w:w w:val="101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所提算法创新的工作</w:t>
      </w:r>
    </w:p>
    <w:p w14:paraId="1D3EA404">
      <w:pPr>
        <w:pStyle w:val="5"/>
        <w:numPr>
          <w:ilvl w:val="0"/>
          <w:numId w:val="0"/>
        </w:numPr>
        <w:spacing w:before="98" w:line="220" w:lineRule="auto"/>
        <w:jc w:val="both"/>
        <w:outlineLvl w:val="0"/>
        <w:rPr>
          <w:rFonts w:hint="eastAsia" w:eastAsia="宋体"/>
          <w:b/>
          <w:bCs/>
          <w:spacing w:val="-4"/>
          <w:sz w:val="30"/>
          <w:szCs w:val="30"/>
          <w:lang w:eastAsia="zh-CN"/>
        </w:rPr>
      </w:pPr>
      <w:r>
        <w:rPr>
          <w:rFonts w:hint="eastAsia" w:eastAsia="宋体"/>
          <w:b/>
          <w:bCs/>
          <w:spacing w:val="-4"/>
          <w:sz w:val="30"/>
          <w:szCs w:val="30"/>
          <w:lang w:eastAsia="zh-CN"/>
        </w:rPr>
        <w:drawing>
          <wp:inline distT="0" distB="0" distL="114300" distR="114300">
            <wp:extent cx="5280660" cy="2402840"/>
            <wp:effectExtent l="0" t="0" r="15240" b="16510"/>
            <wp:docPr id="14" name="图片 14" descr="SUPER-Net 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UPER-Net Fi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B05C">
      <w:pPr>
        <w:spacing w:line="311" w:lineRule="auto"/>
        <w:rPr>
          <w:rFonts w:ascii="Arial"/>
          <w:sz w:val="21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将网络参数视为随机变量，在前向传播中同时传递特征的均值与协方差，从而在单次推理中同时输出分割结果与像素级不确定性图，无需昂贵的蒙特卡洛采样或模型集成。</w:t>
      </w:r>
    </w:p>
    <w:p w14:paraId="5B61A07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参数建模与变分推断</w:t>
      </w:r>
    </w:p>
    <w:p w14:paraId="251AACB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先验与变分分布</w:t>
      </w:r>
    </w:p>
    <w:p w14:paraId="2A4DEFB4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每个卷积核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c(k)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的向量化形式服从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高斯先验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5380D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jc w:val="center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drawing>
          <wp:inline distT="0" distB="0" distL="114300" distR="114300">
            <wp:extent cx="2543175" cy="581025"/>
            <wp:effectExtent l="0" t="0" r="9525" b="9525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1F42">
      <w:pPr>
        <w:pStyle w:val="7"/>
        <w:keepNext w:val="0"/>
        <w:keepLines w:val="0"/>
        <w:widowControl/>
        <w:suppressLineNumbers w:val="0"/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Σc(k)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为对角矩阵（独立假设，减少参数）。</w:t>
      </w:r>
    </w:p>
    <w:p w14:paraId="0E9DCA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3EFA3FFE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引入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变分分布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qθ(Ω)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来近似真实后验，优化目标为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ELBO</w:t>
      </w: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证据下界</w:t>
      </w: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51069C9">
      <w:pPr>
        <w:pStyle w:val="7"/>
        <w:keepNext w:val="0"/>
        <w:keepLines w:val="0"/>
        <w:widowControl/>
        <w:suppressLineNumbers w:val="0"/>
        <w:spacing w:before="120" w:beforeAutospacing="0" w:after="0" w:afterAutospacing="0"/>
        <w:ind w:left="0" w:right="0"/>
        <w:jc w:val="center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3981450" cy="476250"/>
            <wp:effectExtent l="0" t="0" r="0" b="0"/>
            <wp:docPr id="7" name="图片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A54C">
      <w:pPr>
        <w:pStyle w:val="7"/>
        <w:keepNext w:val="0"/>
        <w:keepLines w:val="0"/>
        <w:widowControl/>
        <w:suppressLineNumbers w:val="0"/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与传统方法不同，SUPER-Net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不采样参数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，而是直接传播统计量。</w:t>
      </w:r>
    </w:p>
    <w:p w14:paraId="34EEB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A5B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 前向传播：统计量在各层中的更新</w:t>
      </w:r>
    </w:p>
    <w:p w14:paraId="2EEB2C01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输入图像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为确定性数据，网络参数为随机变量。每一层输出为随机变量，其均值和协方差按以下规则更新。</w:t>
      </w:r>
    </w:p>
    <w:p w14:paraId="0B812AA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第一层卷积（输入确定，核随机）</w:t>
      </w:r>
    </w:p>
    <w:p w14:paraId="22E5A7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将输入化为矩阵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（行对应滑动窗口向量化）。</w:t>
      </w:r>
    </w:p>
    <w:p w14:paraId="3E0991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D3DE007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 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1628775" cy="438150"/>
            <wp:effectExtent l="0" t="0" r="9525" b="0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服从高斯分布：</w:t>
      </w:r>
    </w:p>
    <w:p w14:paraId="472A02C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jc w:val="center"/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676525" cy="561975"/>
            <wp:effectExtent l="0" t="0" r="9525" b="9525"/>
            <wp:docPr id="8" name="图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13D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4.3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后续卷积层（输入随机，核随机）</w:t>
      </w:r>
    </w:p>
    <w:p w14:paraId="55075781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设输入特征图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的向量化形式为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，其每一行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bj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的均值为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μbj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，协方差为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Σbj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。当前层核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Wc(k)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的均值为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mc(k)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，协方差为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Σc(k)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A0512A7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输出均值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j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个输出元素）：</w:t>
      </w:r>
    </w:p>
    <w:p w14:paraId="3B01FD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571625" cy="495300"/>
            <wp:effectExtent l="0" t="0" r="9525" b="0"/>
            <wp:docPr id="10" name="图片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C9E9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输出协方差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（对角线元素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i=j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）：</w:t>
      </w:r>
    </w:p>
    <w:p w14:paraId="24B4F8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48175" cy="561975"/>
            <wp:effectExtent l="0" t="0" r="9525" b="9525"/>
            <wp:docPr id="11" name="图片 1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3B46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非对角线元素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i≠j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9DA02E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jc w:val="center"/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1924050" cy="619125"/>
            <wp:effectExtent l="0" t="0" r="0" b="9525"/>
            <wp:docPr id="12" name="图片 1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993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4.4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非线性激活函数（ReLU等）</w:t>
      </w:r>
    </w:p>
    <w:p w14:paraId="06DD81A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一阶泰勒展开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近似。令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为激活函数，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为输入，输出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g=ψ(z)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90B5FC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napToGrid w:val="0"/>
          <w:color w:val="000000"/>
          <w:spacing w:val="0"/>
          <w:kern w:val="0"/>
          <w:sz w:val="25"/>
          <w:szCs w:val="25"/>
          <w:shd w:val="clear" w:fill="FFFFFF"/>
          <w:lang w:val="en-US" w:eastAsia="zh-CN" w:bidi="ar"/>
        </w:rPr>
        <w:drawing>
          <wp:inline distT="0" distB="0" distL="114300" distR="114300">
            <wp:extent cx="4076700" cy="495300"/>
            <wp:effectExtent l="0" t="0" r="0" b="0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B53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4.5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最大池化</w:t>
      </w:r>
    </w:p>
    <w:p w14:paraId="551F07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均值按常规池化选取最大值。</w:t>
      </w:r>
    </w:p>
    <w:p w14:paraId="30A3FFBB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协方差只保留与所选最大值对应的行和列（即“协方差池化”）：</w:t>
      </w:r>
    </w:p>
    <w:p w14:paraId="2D3835E4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center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3629025" cy="619125"/>
            <wp:effectExtent l="0" t="0" r="9525" b="952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380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4.6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解码器特殊操作</w:t>
      </w:r>
    </w:p>
    <w:p w14:paraId="039D3E5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上采样（Up-sampling）</w:t>
      </w:r>
    </w:p>
    <w:p w14:paraId="78363E4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均值：在元素间插入零。</w:t>
      </w:r>
    </w:p>
    <w:p w14:paraId="164D260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协方差：在新插入位置对应的行和列添加零（即保持独立）。</w:t>
      </w:r>
    </w:p>
    <w:p w14:paraId="55D7144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上卷积（Up-convolution）</w:t>
      </w:r>
    </w:p>
    <w:p w14:paraId="373AB4F1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与普通卷积相同，使用公式 (5)-(6) 更新均值和协方差。</w:t>
      </w:r>
    </w:p>
    <w:p w14:paraId="7BE72AB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填充（Padding）</w:t>
      </w:r>
    </w:p>
    <w:p w14:paraId="54405CD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均值：零填充。</w:t>
      </w:r>
    </w:p>
    <w:p w14:paraId="6EEB9E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0D232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协方差：新增加的行/列全部置零，但对角线设置为一个小的正数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σpa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（用户指定），保证数值稳定。</w:t>
      </w:r>
    </w:p>
    <w:p w14:paraId="7AD4185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拼接（Concatenation）</w:t>
      </w:r>
    </w:p>
    <w:p w14:paraId="4EABFC8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将来自编码器的特征图与解码器特征图沿通道维度拼接。</w:t>
      </w:r>
    </w:p>
    <w:p w14:paraId="0B33DC4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均值：直接拼接。</w:t>
      </w:r>
    </w:p>
    <w:p w14:paraId="32075C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CFA394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协方差：对应通道的协方差矩阵组成块对角矩阵（不同通道间独立）。</w:t>
      </w:r>
    </w:p>
    <w:p w14:paraId="177440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0A3A13A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4.7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最终 Softmax 层</w:t>
      </w:r>
    </w:p>
    <w:p w14:paraId="3EDEDC8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设最后一层输出为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（随机变量），均值为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μF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，协方差为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ΣF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。Softmax 函数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输出的均值和协方差同样用一阶泰勒展开：</w:t>
      </w:r>
    </w:p>
    <w:p w14:paraId="4FA7128F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895600" cy="552450"/>
            <wp:effectExtent l="0" t="0" r="0" b="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0DF4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Jϕ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 Softmax 在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μF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处的雅可比矩阵。</w:t>
      </w:r>
    </w:p>
    <w:p w14:paraId="69767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7EEE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训练与损失函数</w:t>
      </w:r>
    </w:p>
    <w:p w14:paraId="33998EC6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损失函数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：直接优化 ELBO。</w:t>
      </w:r>
    </w:p>
    <w:p w14:paraId="77C3EF3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似然项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1152525" cy="238125"/>
            <wp:effectExtent l="0" t="0" r="9525" b="9525"/>
            <wp:docPr id="13" name="图片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利用传播的均值和协方差计算交叉熵</w:t>
      </w:r>
    </w:p>
    <w:p w14:paraId="3476CA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KL 项作为正则化，防止变分分布偏离先验。</w:t>
      </w:r>
    </w:p>
    <w:p w14:paraId="126FA45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510B19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梯度更新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：所有传播公式均可微，因此均值和协方差参数可通过反向传播学习</w:t>
      </w:r>
    </w:p>
    <w:p w14:paraId="14FFA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4A3D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推理输出</w:t>
      </w:r>
    </w:p>
    <w:p w14:paraId="0866EB17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一次前向传播即可得到：</w:t>
      </w:r>
    </w:p>
    <w:p w14:paraId="2DB8C40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分割结果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Y^=μY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（每个像素的预测均值）</w:t>
      </w:r>
    </w:p>
    <w:p w14:paraId="52659D4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不确定性图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diag(ΣY)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（每个像素的预测方差）</w:t>
      </w:r>
    </w:p>
    <w:p w14:paraId="7E0DBBE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无需多次采样或集成。</w:t>
      </w:r>
    </w:p>
    <w:p w14:paraId="04CECED3">
      <w:pPr>
        <w:spacing w:line="253" w:lineRule="auto"/>
        <w:rPr>
          <w:rFonts w:ascii="Arial"/>
          <w:sz w:val="21"/>
        </w:rPr>
      </w:pPr>
    </w:p>
    <w:p w14:paraId="2821DA8A">
      <w:pPr>
        <w:pStyle w:val="5"/>
        <w:spacing w:before="97" w:line="220" w:lineRule="auto"/>
        <w:ind w:left="24"/>
        <w:outlineLvl w:val="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5.</w:t>
      </w:r>
      <w:r>
        <w:rPr>
          <w:rFonts w:ascii="Times New Roman" w:hAnsi="Times New Roman" w:eastAsia="Times New Roman" w:cs="Times New Roman"/>
          <w:b/>
          <w:bCs/>
          <w:spacing w:val="33"/>
          <w:sz w:val="30"/>
          <w:szCs w:val="30"/>
        </w:rPr>
        <w:t xml:space="preserve">  </w:t>
      </w:r>
      <w:r>
        <w:rPr>
          <w:b/>
          <w:bCs/>
          <w:spacing w:val="-4"/>
          <w:sz w:val="30"/>
          <w:szCs w:val="30"/>
        </w:rPr>
        <w:t>测试用人工数据和实际问题</w:t>
      </w:r>
    </w:p>
    <w:p w14:paraId="41FA6930">
      <w:pPr>
        <w:kinsoku w:val="0"/>
        <w:autoSpaceDE w:val="0"/>
        <w:autoSpaceDN w:val="0"/>
        <w:adjustRightInd w:val="0"/>
        <w:snapToGrid w:val="0"/>
        <w:spacing w:before="97" w:line="220" w:lineRule="auto"/>
        <w:ind w:left="24" w:leftChars="0"/>
        <w:jc w:val="left"/>
        <w:textAlignment w:val="baseline"/>
        <w:outlineLvl w:val="0"/>
        <w:rPr>
          <w:rFonts w:hint="eastAsia" w:ascii="宋体" w:hAnsi="宋体" w:eastAsia="宋体" w:cs="宋体"/>
          <w:snapToGrid w:val="0"/>
          <w:color w:val="000000"/>
          <w:kern w:val="0"/>
          <w:sz w:val="30"/>
          <w:szCs w:val="30"/>
          <w:lang w:val="en-US" w:eastAsia="en-US" w:bidi="ar-SA"/>
        </w:rPr>
      </w:pPr>
      <w:r>
        <w:rPr>
          <w:rFonts w:hint="eastAsia"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30"/>
          <w:szCs w:val="30"/>
          <w:lang w:val="en-US" w:eastAsia="en-US" w:bidi="ar-SA"/>
        </w:rPr>
        <w:t xml:space="preserve">5.1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4"/>
          <w:kern w:val="0"/>
          <w:sz w:val="30"/>
          <w:szCs w:val="30"/>
          <w:lang w:val="en-US" w:eastAsia="en-US" w:bidi="ar-SA"/>
        </w:rPr>
        <w:t>人工数据测试</w:t>
      </w:r>
    </w:p>
    <w:p w14:paraId="4243CFBC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高斯噪声添加</w:t>
      </w: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：在输入图像中添加不同信噪比(SNR)的高斯噪声：</w:t>
      </w:r>
    </w:p>
    <w:p w14:paraId="3CBD3D9A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SNR=35 dB（低噪声）</w:t>
      </w:r>
    </w:p>
    <w:p w14:paraId="542C5D8C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SNR=3 dB（高噪声）</w:t>
      </w:r>
    </w:p>
    <w:p w14:paraId="0BF33BA0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SNR=31 dB（中等噪声）</w:t>
      </w:r>
    </w:p>
    <w:p w14:paraId="7E8A5B3C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SNR=14 dB（高噪声）</w:t>
      </w:r>
    </w:p>
    <w:p w14:paraId="27A4D315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lang w:val="en-US" w:eastAsia="en-US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对抗性攻击：</w:t>
      </w: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使用FGSM（Fast Gradient Sign Method）生成对抗性样本，测试模型鲁棒性</w:t>
      </w:r>
    </w:p>
    <w:p w14:paraId="66451E62">
      <w:pPr>
        <w:kinsoku w:val="0"/>
        <w:autoSpaceDE w:val="0"/>
        <w:autoSpaceDN w:val="0"/>
        <w:adjustRightInd w:val="0"/>
        <w:snapToGrid w:val="0"/>
        <w:spacing w:before="97" w:line="220" w:lineRule="auto"/>
        <w:ind w:left="24" w:leftChars="0"/>
        <w:jc w:val="left"/>
        <w:textAlignment w:val="baseline"/>
        <w:outlineLvl w:val="0"/>
        <w:rPr>
          <w:rFonts w:hint="eastAsia" w:ascii="宋体" w:hAnsi="宋体" w:eastAsia="宋体" w:cs="宋体"/>
          <w:snapToGrid w:val="0"/>
          <w:color w:val="000000"/>
          <w:kern w:val="0"/>
          <w:sz w:val="30"/>
          <w:szCs w:val="30"/>
          <w:lang w:val="en-US" w:eastAsia="en-US" w:bidi="ar-SA"/>
        </w:rPr>
      </w:pPr>
      <w:r>
        <w:rPr>
          <w:rFonts w:hint="eastAsia"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30"/>
          <w:szCs w:val="30"/>
          <w:lang w:val="en-US" w:eastAsia="en-US" w:bidi="ar-SA"/>
        </w:rPr>
        <w:t xml:space="preserve">5.2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4"/>
          <w:kern w:val="0"/>
          <w:sz w:val="30"/>
          <w:szCs w:val="30"/>
          <w:lang w:val="en-US" w:eastAsia="en-US" w:bidi="ar-SA"/>
        </w:rPr>
        <w:t>实际问题测试</w:t>
      </w:r>
    </w:p>
    <w:p w14:paraId="27AF8BF5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SUPER-Net在四个医学分割数据集上进行了评估：</w:t>
      </w:r>
    </w:p>
    <w:p w14:paraId="55FE00FE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Lungs数据集：20个CT扫描</w:t>
      </w:r>
      <w:r>
        <w:rPr>
          <w:rFonts w:hint="eastAsia" w:ascii="Segoe UI" w:hAnsi="Segoe UI" w:eastAsia="宋体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-SA"/>
        </w:rPr>
        <w:t>，</w:t>
      </w: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用于肺部分割评估模型在噪声和对抗性攻击下的鲁棒性</w:t>
      </w:r>
    </w:p>
    <w:p w14:paraId="31DAA589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Hippocampus数据集：394个单模态MRI</w:t>
      </w:r>
      <w:r>
        <w:rPr>
          <w:rFonts w:hint="eastAsia" w:ascii="Segoe UI" w:hAnsi="Segoe UI" w:eastAsia="宋体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-SA"/>
        </w:rPr>
        <w:t>，</w:t>
      </w: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扫描用于海马体分割评估模型在噪声条件下的分割性能</w:t>
      </w:r>
    </w:p>
    <w:p w14:paraId="111D6848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BraTS数据集：约300个多模态MRI扫描（T1、T1c、T2和FLAIR）</w:t>
      </w:r>
      <w:r>
        <w:rPr>
          <w:rFonts w:hint="eastAsia" w:ascii="Segoe UI" w:hAnsi="Segoe UI" w:eastAsia="宋体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-SA"/>
        </w:rPr>
        <w:t>，</w:t>
      </w: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用于脑肿瘤分割评估模型在肿瘤边界分割的精确性</w:t>
      </w:r>
    </w:p>
    <w:p w14:paraId="770E4403">
      <w:pPr>
        <w:keepNext w:val="0"/>
        <w:keepLines w:val="0"/>
        <w:widowControl/>
        <w:suppressLineNumbers w:val="0"/>
        <w:shd w:val="clear" w:fill="FFFFFF"/>
        <w:kinsoku w:val="0"/>
        <w:autoSpaceDE w:val="0"/>
        <w:autoSpaceDN w:val="0"/>
        <w:adjustRightInd w:val="0"/>
        <w:snapToGrid w:val="0"/>
        <w:spacing w:before="240" w:beforeAutospacing="0" w:after="240" w:afterAutospacing="0" w:line="240" w:lineRule="auto"/>
        <w:ind w:left="0" w:leftChars="0" w:right="0" w:rightChars="0" w:firstLine="0" w:firstLineChars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lang w:val="en-US" w:eastAsia="en-US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临床数据：627个FLAIR序列</w:t>
      </w:r>
      <w:r>
        <w:rPr>
          <w:rFonts w:hint="eastAsia" w:ascii="Segoe UI" w:hAnsi="Segoe UI" w:eastAsia="宋体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-SA"/>
        </w:rPr>
        <w:t>，</w:t>
      </w:r>
      <w:r>
        <w:rPr>
          <w:rFonts w:hint="eastAsia" w:ascii="Segoe UI" w:hAnsi="Segoe UI" w:eastAsia="Segoe UI" w:cs="Segoe UI"/>
          <w:i w:val="0"/>
          <w:iCs w:val="0"/>
          <w:caps w:val="0"/>
          <w:snapToGrid w:val="0"/>
          <w:color w:val="000000"/>
          <w:spacing w:val="0"/>
          <w:kern w:val="0"/>
          <w:sz w:val="24"/>
          <w:szCs w:val="24"/>
          <w:shd w:val="clear" w:fill="FFFFFF"/>
          <w:lang w:val="en-US" w:eastAsia="en-US" w:bidi="ar-SA"/>
        </w:rPr>
        <w:t>用于脑肿瘤分割评估模型在真实临床环境中的表现</w:t>
      </w:r>
    </w:p>
    <w:p w14:paraId="2C2A615E">
      <w:pPr>
        <w:spacing w:line="263" w:lineRule="auto"/>
        <w:rPr>
          <w:rFonts w:ascii="Arial"/>
          <w:sz w:val="21"/>
        </w:rPr>
      </w:pPr>
    </w:p>
    <w:p w14:paraId="11857D91">
      <w:pPr>
        <w:pStyle w:val="5"/>
        <w:spacing w:before="98" w:line="220" w:lineRule="auto"/>
        <w:ind w:left="25"/>
        <w:outlineLvl w:val="0"/>
        <w:rPr>
          <w:rFonts w:hint="eastAsia" w:ascii="Arial" w:eastAsia="宋体"/>
          <w:sz w:val="21"/>
          <w:lang w:val="en-US" w:eastAsia="zh-CN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>6.</w:t>
      </w:r>
      <w:r>
        <w:rPr>
          <w:rFonts w:ascii="Times New Roman" w:hAnsi="Times New Roman" w:eastAsia="Times New Roman" w:cs="Times New Roman"/>
          <w:b/>
          <w:bCs/>
          <w:spacing w:val="30"/>
          <w:sz w:val="30"/>
          <w:szCs w:val="30"/>
        </w:rPr>
        <w:t xml:space="preserve">  </w:t>
      </w:r>
      <w:r>
        <w:rPr>
          <w:b/>
          <w:bCs/>
          <w:spacing w:val="-6"/>
          <w:sz w:val="30"/>
          <w:szCs w:val="30"/>
        </w:rPr>
        <w:t>测试指标</w:t>
      </w:r>
    </w:p>
    <w:p w14:paraId="3FE0C993">
      <w:pPr>
        <w:spacing w:before="0" w:after="60" w:line="317" w:lineRule="auto"/>
        <w:ind w:firstLine="4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本文统一采用 Dice Similarity Coefficient（DSC）评估分割精度，并围绕模型鲁棒性设计了两类扰动实验：加性高斯噪声，以及由 FGSM / PGD 生成的非定向和定向对抗攻击。比较对象包括确定性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U-Net、Bayes U-Net、Ensemble U-Net 和本文提出的 SUPER U-Net。</w:t>
      </w:r>
    </w:p>
    <w:p w14:paraId="1537F17C">
      <w:pPr>
        <w:spacing w:before="0" w:after="60" w:line="317" w:lineRule="auto"/>
        <w:ind w:firstLine="4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从结果看，SUPER U-Net 在多数场景下都表现出更强的鲁棒性。例如在 Lungs 数据集上，当高斯噪声加到整幅图像且 SNR 约为 3 dB 时，SUPER U-Net 的 DSC 为 0.21，高于 U-Net 的 0.16、Bayes U-Net 的 0.19 和 Ensemble U-Net 的 0.11。</w:t>
      </w:r>
    </w:p>
    <w:p w14:paraId="18D72125">
      <w:pPr>
        <w:spacing w:before="0" w:after="60" w:line="317" w:lineRule="auto"/>
        <w:ind w:firstLine="4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 BraTS 无噪声测试集上，SUPER U-Net 在 whole / core / enhancing 三个肿瘤区域上的 DSC 分别达到 0.83 / 0.64 / 0.69；临床数据上，SUPER U-Net 在 held-out test data 上达到约 86% DSC。</w:t>
      </w:r>
    </w:p>
    <w:p w14:paraId="16A34227">
      <w:pPr>
        <w:spacing w:before="0" w:after="60" w:line="317" w:lineRule="auto"/>
        <w:ind w:firstLine="4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论文还分析了 uncertainty map 的有效性：在 BraTS 数据上，正确像素的平均 predictive variance 约 0.007-0.008，而错误像素约 0.289-0.336，说明高不确定性区域与错误预测区域具有较高一致性。</w:t>
      </w:r>
    </w:p>
    <w:p w14:paraId="72AEA3CF">
      <w:pPr>
        <w:pStyle w:val="5"/>
        <w:spacing w:before="97" w:line="218" w:lineRule="auto"/>
        <w:ind w:left="33"/>
        <w:outlineLvl w:val="0"/>
        <w:rPr>
          <w:sz w:val="30"/>
          <w:szCs w:val="30"/>
        </w:rPr>
      </w:pPr>
    </w:p>
    <w:p w14:paraId="33A61FCF">
      <w:pPr>
        <w:pStyle w:val="5"/>
        <w:spacing w:before="314" w:line="218" w:lineRule="auto"/>
        <w:ind w:left="24"/>
        <w:outlineLvl w:val="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7.</w:t>
      </w:r>
      <w:r>
        <w:rPr>
          <w:rFonts w:ascii="Times New Roman" w:hAnsi="Times New Roman" w:eastAsia="Times New Roman" w:cs="Times New Roman"/>
          <w:b/>
          <w:bCs/>
          <w:spacing w:val="35"/>
          <w:w w:val="101"/>
          <w:sz w:val="30"/>
          <w:szCs w:val="30"/>
        </w:rPr>
        <w:t xml:space="preserve">  </w:t>
      </w:r>
      <w:r>
        <w:rPr>
          <w:b/>
          <w:bCs/>
          <w:spacing w:val="-4"/>
          <w:sz w:val="30"/>
          <w:szCs w:val="30"/>
        </w:rPr>
        <w:t>作者工作评价（优点、缺点、后续工作要点）</w:t>
      </w:r>
    </w:p>
    <w:p w14:paraId="38FA6964">
      <w:pPr>
        <w:spacing w:before="0" w:after="60" w:line="317" w:lineRule="auto"/>
        <w:ind w:firstLine="4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优点：一是把“不确定性传播”系统化引入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编-解码</w:t>
      </w:r>
      <w:r>
        <w:rPr>
          <w:rFonts w:hint="eastAsia" w:ascii="宋体" w:hAnsi="宋体" w:eastAsia="宋体" w:cs="宋体"/>
          <w:sz w:val="24"/>
          <w:szCs w:val="24"/>
        </w:rPr>
        <w:t>分割网络，理论闭环完整；二是模型可在一次推理中同步输出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分割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不确定图</w:t>
      </w:r>
      <w:r>
        <w:rPr>
          <w:rFonts w:hint="eastAsia" w:ascii="宋体" w:hAnsi="宋体" w:eastAsia="宋体" w:cs="宋体"/>
          <w:sz w:val="24"/>
          <w:szCs w:val="24"/>
        </w:rPr>
        <w:t>；三是实验系统考察了高斯噪声、定向 / 非定向对抗攻击以及临床数据，验证较充分；四是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不确定图</w:t>
      </w:r>
      <w:r>
        <w:rPr>
          <w:rFonts w:hint="eastAsia" w:ascii="宋体" w:hAnsi="宋体" w:eastAsia="宋体" w:cs="宋体"/>
          <w:sz w:val="24"/>
          <w:szCs w:val="24"/>
        </w:rPr>
        <w:t>与错误区域具有较强对应关系，增强了模型可解释性与可用性。</w:t>
      </w:r>
    </w:p>
    <w:p w14:paraId="6013C2B5">
      <w:pPr>
        <w:spacing w:before="0" w:after="60" w:line="317" w:lineRule="auto"/>
        <w:ind w:firstLine="4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缺点：一是方法仍需传播均值与协方差，因此推理成本高于确定性 U-Net；二是本文采用对角协方差，相关性建模仍是近似的；三是模型对先验假设和超参数设置敏感，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高斯先验</w:t>
      </w:r>
      <w:r>
        <w:rPr>
          <w:rFonts w:hint="eastAsia" w:ascii="宋体" w:hAnsi="宋体" w:eastAsia="宋体" w:cs="宋体"/>
          <w:sz w:val="24"/>
          <w:szCs w:val="24"/>
        </w:rPr>
        <w:t>不一定最适合复杂医学分布；四是在小样本、类别不平衡和稀有结构分割场景下，不确定性质量可能受影响。</w:t>
      </w:r>
    </w:p>
    <w:p w14:paraId="4FAD15A1">
      <w:pPr>
        <w:spacing w:before="0" w:after="60" w:line="317" w:lineRule="auto"/>
        <w:ind w:firstLine="4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后续工作要点：可探索更灵活的先验 / 后验分布、更高阶矩传播、更自动化的超参数优化策略，并减少均值—协方差联合传播带来的计算开销。</w:t>
      </w:r>
    </w:p>
    <w:p w14:paraId="7B761ABC">
      <w:pPr>
        <w:spacing w:line="270" w:lineRule="auto"/>
        <w:rPr>
          <w:rFonts w:ascii="Arial"/>
          <w:sz w:val="21"/>
        </w:rPr>
      </w:pPr>
    </w:p>
    <w:p w14:paraId="3094689F">
      <w:pPr>
        <w:spacing w:line="270" w:lineRule="auto"/>
        <w:rPr>
          <w:rFonts w:ascii="Arial"/>
          <w:sz w:val="21"/>
        </w:rPr>
      </w:pPr>
    </w:p>
    <w:p w14:paraId="4136E5DD">
      <w:pPr>
        <w:pStyle w:val="5"/>
        <w:spacing w:before="98" w:line="218" w:lineRule="auto"/>
        <w:ind w:left="24"/>
        <w:outlineLvl w:val="0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 xml:space="preserve">8.   </w:t>
      </w:r>
      <w:r>
        <w:rPr>
          <w:b/>
          <w:bCs/>
          <w:spacing w:val="-4"/>
          <w:sz w:val="30"/>
          <w:szCs w:val="30"/>
        </w:rPr>
        <w:t>自己对该论文的评价（优点、缺点、可改进方案</w:t>
      </w:r>
    </w:p>
    <w:p w14:paraId="0A09B05B">
      <w:pPr>
        <w:pStyle w:val="5"/>
        <w:spacing w:before="97" w:line="218" w:lineRule="auto"/>
        <w:ind w:left="33"/>
        <w:outlineLvl w:val="0"/>
        <w:rPr>
          <w:sz w:val="30"/>
          <w:szCs w:val="30"/>
        </w:rPr>
      </w:pPr>
    </w:p>
    <w:p w14:paraId="46CD9943">
      <w:pPr>
        <w:spacing w:before="0" w:after="60" w:line="317" w:lineRule="auto"/>
        <w:ind w:firstLine="403"/>
        <w:rPr>
          <w:sz w:val="30"/>
          <w:szCs w:val="30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可改进方向包括：把该思想扩展到 Transformer-based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分割</w:t>
      </w:r>
      <w:r>
        <w:rPr>
          <w:rFonts w:hint="eastAsia" w:ascii="宋体" w:hAnsi="宋体" w:eastAsia="宋体" w:cs="宋体"/>
          <w:sz w:val="24"/>
          <w:szCs w:val="24"/>
        </w:rPr>
        <w:t xml:space="preserve"> 或 CNN-Transformer 混合骨干；结合主动学习、病例筛查和 human-in-the-loop 机制，转化为真正的临床决策支持工具。</w:t>
      </w:r>
      <w:bookmarkStart w:id="0" w:name="_GoBack"/>
      <w:bookmarkEnd w:id="0"/>
    </w:p>
    <w:p w14:paraId="3986D435">
      <w:pPr>
        <w:pStyle w:val="5"/>
        <w:spacing w:before="97" w:line="218" w:lineRule="auto"/>
        <w:ind w:left="33"/>
        <w:outlineLvl w:val="0"/>
        <w:rPr>
          <w:sz w:val="30"/>
          <w:szCs w:val="30"/>
        </w:rPr>
      </w:pPr>
    </w:p>
    <w:p w14:paraId="47BC568E">
      <w:pPr>
        <w:pStyle w:val="5"/>
        <w:spacing w:before="97" w:line="218" w:lineRule="auto"/>
        <w:ind w:left="33"/>
        <w:outlineLvl w:val="0"/>
        <w:rPr>
          <w:sz w:val="30"/>
          <w:szCs w:val="30"/>
        </w:rPr>
      </w:pPr>
    </w:p>
    <w:sectPr>
      <w:headerReference r:id="rId5" w:type="default"/>
      <w:pgSz w:w="11907" w:h="16839"/>
      <w:pgMar w:top="400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B1841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6EEC4"/>
    <w:multiLevelType w:val="singleLevel"/>
    <w:tmpl w:val="0DF6EEC4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146947"/>
    <w:rsid w:val="09491BC8"/>
    <w:rsid w:val="0B7D76AD"/>
    <w:rsid w:val="0F9152E4"/>
    <w:rsid w:val="132F2F91"/>
    <w:rsid w:val="174E26C0"/>
    <w:rsid w:val="1A3A586A"/>
    <w:rsid w:val="1B346E0F"/>
    <w:rsid w:val="1FF9265B"/>
    <w:rsid w:val="216933A5"/>
    <w:rsid w:val="21C45FC9"/>
    <w:rsid w:val="21D875AD"/>
    <w:rsid w:val="26F90CC7"/>
    <w:rsid w:val="2C8D2179"/>
    <w:rsid w:val="2E4C110A"/>
    <w:rsid w:val="37B346BE"/>
    <w:rsid w:val="3CF36569"/>
    <w:rsid w:val="3DFC631C"/>
    <w:rsid w:val="3F5356B7"/>
    <w:rsid w:val="44E447A9"/>
    <w:rsid w:val="4DC442C6"/>
    <w:rsid w:val="4E474674"/>
    <w:rsid w:val="51501312"/>
    <w:rsid w:val="520A555C"/>
    <w:rsid w:val="52EF6909"/>
    <w:rsid w:val="56B91708"/>
    <w:rsid w:val="58380DEE"/>
    <w:rsid w:val="5A056A12"/>
    <w:rsid w:val="616B0321"/>
    <w:rsid w:val="65005E80"/>
    <w:rsid w:val="66E12F18"/>
    <w:rsid w:val="672E75A8"/>
    <w:rsid w:val="692505BA"/>
    <w:rsid w:val="6C281A66"/>
    <w:rsid w:val="6D7E6EF3"/>
    <w:rsid w:val="6DA83A88"/>
    <w:rsid w:val="72655822"/>
    <w:rsid w:val="72936E59"/>
    <w:rsid w:val="729C3F60"/>
    <w:rsid w:val="77A47C93"/>
    <w:rsid w:val="788E71AE"/>
    <w:rsid w:val="7C801E3D"/>
    <w:rsid w:val="7C881E84"/>
    <w:rsid w:val="7FDC19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2060</Words>
  <Characters>2820</Characters>
  <TotalTime>0</TotalTime>
  <ScaleCrop>false</ScaleCrop>
  <LinksUpToDate>false</LinksUpToDate>
  <CharactersWithSpaces>3011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2023-05-04T22:10:00Z</dcterms:created>
  <dc:creator>Peinture</dc:creator>
  <cp:lastModifiedBy>Circle^B</cp:lastModifiedBy>
  <dcterms:modified xsi:type="dcterms:W3CDTF">2026-03-31T02:52:40Z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2025-12-07T16:03:09Z</vt:filetime>
  </property>
  <property fmtid="{D5CDD505-2E9C-101B-9397-08002B2CF9AE}" pid="4" name="KSOTemplateDocerSaveRecord">
    <vt:lpwstr>eyJoZGlkIjoiMjJmNjg5ZDNkNWMzMjM2Yjc5ZTU2YjdiNjc3NWNlY2MiLCJ1c2VySWQiOiI0MTgzMjQxNTQifQ==</vt:lpwstr>
  </property>
  <property fmtid="{D5CDD505-2E9C-101B-9397-08002B2CF9AE}" pid="5" name="KSOProductBuildVer">
    <vt:lpwstr>2052-12.1.0.25225</vt:lpwstr>
  </property>
  <property fmtid="{D5CDD505-2E9C-101B-9397-08002B2CF9AE}" pid="6" name="ICV">
    <vt:lpwstr>5D0921EC34AD4FFCA02101151D2A4245_13</vt:lpwstr>
  </property>
</Properties>
</file>