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85FED">
      <w:pPr>
        <w:pStyle w:val="4"/>
        <w:spacing w:before="97" w:line="220" w:lineRule="auto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 xml:space="preserve">1.   </w:t>
      </w:r>
      <w:r>
        <w:rPr>
          <w:b/>
          <w:bCs/>
          <w:spacing w:val="-6"/>
          <w:sz w:val="30"/>
          <w:szCs w:val="30"/>
        </w:rPr>
        <w:t>阅读文献来源</w:t>
      </w:r>
    </w:p>
    <w:p w14:paraId="43FD6046">
      <w:pPr>
        <w:spacing w:line="315" w:lineRule="auto"/>
        <w:rPr>
          <w:rFonts w:ascii="Arial"/>
          <w:sz w:val="21"/>
        </w:rPr>
      </w:pPr>
    </w:p>
    <w:p w14:paraId="376CDD9E">
      <w:pPr>
        <w:spacing w:line="326" w:lineRule="auto"/>
        <w:rPr>
          <w:rFonts w:hint="eastAsia" w:ascii="Arial" w:eastAsia="宋体"/>
          <w:sz w:val="21"/>
          <w:lang w:eastAsia="zh-CN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Xiao L, Liu W, Wang Z, Wang Y, Pan Z, Lu H. Densely activated self-attention for semantic segmentation[J]. Pattern Recognition, 2026, 170: 111920. DOI: 10.1016/j.patcog.2025.111920.</w:t>
      </w: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5287010" cy="3128645"/>
            <wp:effectExtent l="0" t="0" r="8890" b="14605"/>
            <wp:docPr id="74" name="图片 74" descr="PattenRecog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PattenRecogni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8DA6">
      <w:pPr>
        <w:pStyle w:val="4"/>
        <w:spacing w:before="98" w:line="219" w:lineRule="auto"/>
        <w:ind w:left="21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b/>
          <w:bCs/>
          <w:spacing w:val="31"/>
          <w:sz w:val="30"/>
          <w:szCs w:val="30"/>
        </w:rPr>
        <w:t xml:space="preserve">  </w:t>
      </w:r>
      <w:r>
        <w:rPr>
          <w:b/>
          <w:bCs/>
          <w:spacing w:val="-4"/>
          <w:sz w:val="30"/>
          <w:szCs w:val="30"/>
        </w:rPr>
        <w:t>论文待研究科学问题</w:t>
      </w:r>
    </w:p>
    <w:p w14:paraId="6AAD01AB">
      <w:pPr>
        <w:spacing w:after="120" w:line="360" w:lineRule="auto"/>
        <w:ind w:firstLine="500" w:firstLineChars="0"/>
        <w:jc w:val="left"/>
        <w:rPr>
          <w:rFonts w:ascii="宋体" w:hAnsi="宋体" w:eastAsia="宋体"/>
          <w:sz w:val="24"/>
          <w:szCs w:val="24"/>
        </w:rPr>
      </w:pPr>
    </w:p>
    <w:p w14:paraId="143FFFAE">
      <w:pPr>
        <w:spacing w:after="120" w:line="360" w:lineRule="auto"/>
        <w:ind w:firstLine="500" w:firstLineChars="0"/>
        <w:jc w:val="left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论文聚焦于 Transformer 语义分割中的“区域不均匀（region unevenness）”问题：同一语义类别内部的 token 特征差异较大，导致预测结果出现不连续和不完整。待研究的核心科学问题是：如何在不破坏原有编码器预训练能力的前提下，缓解 vanilla self-attention 的稀疏激活现象，使同类区域建立更广泛、更稳定的关联，从而获得更一致的编码特征并提升分割质量。</w:t>
      </w:r>
    </w:p>
    <w:p w14:paraId="437D478D">
      <w:pPr>
        <w:spacing w:line="269" w:lineRule="auto"/>
        <w:rPr>
          <w:rFonts w:hint="eastAsia" w:ascii="Arial" w:eastAsia="宋体"/>
          <w:sz w:val="21"/>
          <w:lang w:eastAsia="zh-CN"/>
        </w:rPr>
      </w:pPr>
    </w:p>
    <w:p w14:paraId="15E2A08C">
      <w:pPr>
        <w:pStyle w:val="4"/>
        <w:numPr>
          <w:ilvl w:val="0"/>
          <w:numId w:val="1"/>
        </w:numPr>
        <w:spacing w:before="97" w:line="219" w:lineRule="auto"/>
        <w:ind w:left="18"/>
        <w:outlineLvl w:val="0"/>
        <w:rPr>
          <w:b/>
          <w:bCs/>
          <w:spacing w:val="-4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29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作者研究动机</w:t>
      </w:r>
    </w:p>
    <w:p w14:paraId="41335F6B">
      <w:pPr>
        <w:spacing w:after="120" w:line="360" w:lineRule="auto"/>
        <w:ind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4635FBD">
      <w:pPr>
        <w:spacing w:after="120" w:line="360" w:lineRule="auto"/>
        <w:ind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作者观察到，Transformer 在语义分割中虽然具备长程建模能力，但 vanilla self-attention 经 softmax 后通常只对少量 key 赋予较大权重，大量同类 token 被忽略，难以提取类别共享的普适特征。这会造成同一类别区域内特征不一致，并进一步带来分割结果的断裂、孔洞和不完整。基于此，作者希望在编码器输出后增加一个可插拔模块，让 query 可以与更多同类 token 建立有效联系，形成 densely activated self-attention，提升区域一致性。</w:t>
      </w:r>
    </w:p>
    <w:p w14:paraId="5B20B161">
      <w:pPr>
        <w:pStyle w:val="4"/>
        <w:spacing w:before="98" w:line="220" w:lineRule="auto"/>
        <w:ind w:left="21"/>
        <w:outlineLvl w:val="0"/>
        <w:rPr>
          <w:rFonts w:ascii="宋体" w:hAnsi="宋体" w:eastAsia="宋体" w:cs="宋体"/>
          <w:sz w:val="24"/>
          <w:szCs w:val="24"/>
        </w:rPr>
      </w:pPr>
    </w:p>
    <w:p w14:paraId="576DAA61">
      <w:pPr>
        <w:pStyle w:val="4"/>
        <w:spacing w:before="98" w:line="220" w:lineRule="auto"/>
        <w:ind w:left="21"/>
        <w:outlineLvl w:val="0"/>
        <w:rPr>
          <w:rFonts w:hint="eastAsia" w:ascii="Arial" w:eastAsia="宋体"/>
          <w:sz w:val="21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4.</w:t>
      </w:r>
      <w:r>
        <w:rPr>
          <w:rFonts w:ascii="Times New Roman" w:hAnsi="Times New Roman" w:eastAsia="Times New Roman" w:cs="Times New Roman"/>
          <w:b/>
          <w:bCs/>
          <w:spacing w:val="30"/>
          <w:w w:val="101"/>
          <w:sz w:val="30"/>
          <w:szCs w:val="30"/>
        </w:rPr>
        <w:t xml:space="preserve">  </w:t>
      </w:r>
      <w:r>
        <w:rPr>
          <w:b/>
          <w:bCs/>
          <w:spacing w:val="-4"/>
          <w:sz w:val="30"/>
          <w:szCs w:val="30"/>
        </w:rPr>
        <w:t>所提算法创新的工作</w:t>
      </w:r>
    </w:p>
    <w:p w14:paraId="091B433E">
      <w:pPr>
        <w:spacing w:line="311" w:lineRule="auto"/>
        <w:jc w:val="center"/>
        <w:rPr>
          <w:rFonts w:hint="eastAsia" w:ascii="Arial" w:eastAsia="宋体"/>
          <w:sz w:val="21"/>
          <w:lang w:eastAsia="zh-CN"/>
        </w:rPr>
      </w:pPr>
    </w:p>
    <w:p w14:paraId="22BFE4C1">
      <w:pPr>
        <w:spacing w:line="311" w:lineRule="auto"/>
        <w:jc w:val="center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5288280" cy="2629535"/>
            <wp:effectExtent l="0" t="0" r="7620" b="18415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EEE3">
      <w:pPr>
        <w:pStyle w:val="5"/>
        <w:keepNext w:val="0"/>
        <w:keepLines w:val="0"/>
        <w:widowControl/>
        <w:suppressLineNumbers w:val="0"/>
      </w:pPr>
      <w:r>
        <w:t>DAM 的插入位置可以概括为：</w:t>
      </w:r>
    </w:p>
    <w:p w14:paraId="343A26EB">
      <w:pPr>
        <w:keepNext w:val="0"/>
        <w:keepLines w:val="0"/>
        <w:widowControl/>
        <w:suppressLineNumbers w:val="0"/>
        <w:jc w:val="center"/>
        <w:rPr>
          <w:b/>
          <w:bCs/>
        </w:rPr>
      </w:pPr>
      <w:r>
        <w:rPr>
          <w:rFonts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Encoder→DAM→Decoder</w:t>
      </w:r>
    </w:p>
    <w:p w14:paraId="58A65633">
      <w:pPr>
        <w:pStyle w:val="5"/>
        <w:keepNext w:val="0"/>
        <w:keepLines w:val="0"/>
        <w:widowControl/>
        <w:suppressLineNumbers w:val="0"/>
      </w:pPr>
      <w:r>
        <w:t>也就是说，编码器先输出特征，DAM 对这些特征进行二次组织与增强，再把增强后的特征送给解码器生成分割结果。论文明确说明，DAM 被插在 encoder 和 decoder 之间，不对其他结构做改动；其整体由三部分组成：</w:t>
      </w:r>
    </w:p>
    <w:p w14:paraId="10ADB5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Spatial-Semantic Cluster（SSC）； </w:t>
      </w:r>
    </w:p>
    <w:p w14:paraId="74EF47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Densely Activated self-Attention block； </w:t>
      </w:r>
    </w:p>
    <w:p w14:paraId="2C01B7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Global Kernel Upsampling（GKU）。 </w:t>
      </w:r>
    </w:p>
    <w:p w14:paraId="47953D15">
      <w:pPr>
        <w:pStyle w:val="5"/>
        <w:keepNext w:val="0"/>
        <w:keepLines w:val="0"/>
        <w:widowControl/>
        <w:suppressLineNumbers w:val="0"/>
      </w:pPr>
      <w:r>
        <w:t>DAM 的根本目标，不是替代原始 self-attention，而是在编码器输出之后补上一轮“更适合语义分割”的注意力建模。论文认为 vanilla self-attention 的 softmax 会使 query 只关注极少数 key，导致注意力呈稀疏激活；而语义分割任务中，同一类别常常覆盖大面积区域，因此模型需要的是让一个 token 能够与大量同类 token 建立联系，提取该类别的共性表示。DAM 的作用正是把这种“点状、稀疏”的注意力，转化为“区域级、密集”的注意力，从而减小同类 token 间的差异，提升特征一致性与预测完整性。</w:t>
      </w:r>
    </w:p>
    <w:p w14:paraId="42377DE7">
      <w:pPr>
        <w:pStyle w:val="5"/>
        <w:keepNext w:val="0"/>
        <w:keepLines w:val="0"/>
        <w:widowControl/>
        <w:suppressLineNumbers w:val="0"/>
      </w:pPr>
      <w:r>
        <w:t>SSC 先选择 cluster center。论文默认采用 DPC-KNN，中心分数由局部密度 ρi与距离指标 δi决定：</w:t>
      </w:r>
    </w:p>
    <w:p w14:paraId="6071AF4C">
      <w:pPr>
        <w:pStyle w:val="5"/>
        <w:keepNext w:val="0"/>
        <w:keepLines w:val="0"/>
        <w:widowControl/>
        <w:suppressLineNumbers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19700" cy="1466850"/>
            <wp:effectExtent l="0" t="0" r="0" b="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D98E">
      <w:pPr>
        <w:pStyle w:val="5"/>
        <w:keepNext w:val="0"/>
        <w:keepLines w:val="0"/>
        <w:widowControl/>
        <w:suppressLineNumbers w:val="0"/>
      </w:pPr>
      <w:r>
        <w:t>其中 Ωi表示 xi的 K 近邻集合。</w:t>
      </w:r>
      <w:r>
        <w:br w:type="textWrapping"/>
      </w:r>
      <w:r>
        <w:t>公式 (1) 衡量 token 周围是否“语义稠密”；</w:t>
      </w:r>
      <w:r>
        <w:br w:type="textWrapping"/>
      </w:r>
      <w:r>
        <w:t>公式 (2) 衡量该 token 与更高密度点之间的分离程度。</w:t>
      </w:r>
      <w:r>
        <w:br w:type="textWrapping"/>
      </w:r>
      <w:r>
        <w:t>密度高且与其他高密度点距离较大的 token，更适合作为簇中心。</w:t>
      </w:r>
    </w:p>
    <w:p w14:paraId="19892667">
      <w:pPr>
        <w:spacing w:line="311" w:lineRule="auto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SSC 的关键并不是只按语义聚类，而是同时考虑语义距离与空间距离。token xi与聚类中心 x~j的距离定义为：</w:t>
      </w:r>
    </w:p>
    <w:p w14:paraId="02C9D5CB">
      <w:pPr>
        <w:spacing w:line="311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095875" cy="523875"/>
            <wp:effectExtent l="0" t="0" r="9525" b="952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2F7D">
      <w:pPr>
        <w:pStyle w:val="5"/>
        <w:keepNext w:val="0"/>
        <w:keepLines w:val="0"/>
        <w:widowControl/>
        <w:suppressLineNumbers w:val="0"/>
      </w:pPr>
      <w:r>
        <w:t>其中 pi,p~j是空间坐标，H,W是图像高宽。</w:t>
      </w:r>
      <w:r>
        <w:br w:type="textWrapping"/>
      </w:r>
      <w:r>
        <w:t>这个公式的数学意义是：一个 token 是否属于某个簇，不仅取决于语义是否接近，还取决于空间位置是否相邻。也就是说，SSC 希望同一簇既“语义相似”，又“空间连续”。</w:t>
      </w:r>
    </w:p>
    <w:p w14:paraId="753494D0">
      <w:pPr>
        <w:pStyle w:val="5"/>
        <w:keepNext w:val="0"/>
        <w:keepLines w:val="0"/>
        <w:widowControl/>
        <w:suppressLineNumbers w:val="0"/>
      </w:pPr>
      <w:r>
        <w:t>token 的簇标签由最近中心决定：</w:t>
      </w:r>
    </w:p>
    <w:p w14:paraId="54B11B01">
      <w:pPr>
        <w:spacing w:line="311" w:lineRule="auto"/>
        <w:jc w:val="center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4371975" cy="552450"/>
            <wp:effectExtent l="0" t="0" r="9525" b="0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BA0">
      <w:pPr>
        <w:spacing w:line="311" w:lineRule="auto"/>
        <w:jc w:val="both"/>
        <w:rPr>
          <w:rFonts w:hint="eastAsia" w:ascii="Arial" w:eastAsia="宋体"/>
          <w:sz w:val="21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这表示每个 token 被分配给总距离最小的簇中心。随后，同一簇内的 token 做平均池化，形成一个新 token。整个过程记为：</w:t>
      </w:r>
    </w:p>
    <w:p w14:paraId="795DC0A2">
      <w:pPr>
        <w:spacing w:line="311" w:lineRule="auto"/>
        <w:jc w:val="center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3543300" cy="390525"/>
            <wp:effectExtent l="0" t="0" r="0" b="9525"/>
            <wp:docPr id="7" name="图片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CECED3">
      <w:pPr>
        <w:spacing w:line="253" w:lineRule="auto"/>
        <w:rPr>
          <w:rFonts w:ascii="Arial"/>
          <w:sz w:val="21"/>
        </w:rPr>
      </w:pPr>
      <w:r>
        <w:rPr>
          <w:rFonts w:ascii="宋体" w:hAnsi="宋体" w:eastAsia="宋体" w:cs="宋体"/>
          <w:sz w:val="24"/>
          <w:szCs w:val="24"/>
        </w:rPr>
        <w:t>其中 X∈RN×C是原始特征，Y∈RN′×C是聚类后的特征。</w:t>
      </w:r>
    </w:p>
    <w:p w14:paraId="2821DA8A">
      <w:pPr>
        <w:pStyle w:val="4"/>
        <w:spacing w:before="97" w:line="220" w:lineRule="auto"/>
        <w:ind w:left="24"/>
        <w:outlineLvl w:val="0"/>
        <w:rPr>
          <w:rFonts w:hint="eastAsia" w:eastAsia="宋体"/>
          <w:sz w:val="30"/>
          <w:szCs w:val="30"/>
          <w:lang w:val="en-US" w:eastAsia="zh-CN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5.</w:t>
      </w:r>
      <w:r>
        <w:rPr>
          <w:rFonts w:ascii="Times New Roman" w:hAnsi="Times New Roman" w:eastAsia="Times New Roman" w:cs="Times New Roman"/>
          <w:b/>
          <w:bCs/>
          <w:spacing w:val="33"/>
          <w:sz w:val="30"/>
          <w:szCs w:val="30"/>
        </w:rPr>
        <w:t xml:space="preserve">  </w:t>
      </w:r>
      <w:r>
        <w:rPr>
          <w:rFonts w:hint="eastAsia" w:ascii="Times New Roman" w:hAnsi="Times New Roman" w:cs="Times New Roman"/>
          <w:b/>
          <w:bCs/>
          <w:spacing w:val="33"/>
          <w:sz w:val="30"/>
          <w:szCs w:val="30"/>
          <w:lang w:val="en-US" w:eastAsia="zh-CN"/>
        </w:rPr>
        <w:t>数据集</w:t>
      </w:r>
    </w:p>
    <w:p w14:paraId="1645C32D">
      <w:pPr>
        <w:spacing w:line="311" w:lineRule="auto"/>
        <w:rPr>
          <w:rFonts w:ascii="Arial"/>
          <w:sz w:val="21"/>
        </w:rPr>
      </w:pPr>
    </w:p>
    <w:p w14:paraId="5C13B4F6">
      <w:pPr>
        <w:spacing w:after="120" w:line="360" w:lineRule="auto"/>
        <w:jc w:val="left"/>
      </w:pPr>
      <w:r>
        <w:rPr>
          <w:rFonts w:ascii="宋体" w:hAnsi="宋体" w:eastAsia="宋体"/>
          <w:sz w:val="22"/>
        </w:rPr>
        <w:t>本文在三个主流语义分割数据集上进行了实验。</w:t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t>（1）ADE20K：包含 150 个类别，训练集 20210 张，验证集 2000 张，是较具挑战性的语义分割数据集。</w:t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t>（2）PASCAL-Context：训练集 4998 张，验证集 5105 张；按照已有工作设置，评估 59 个高频类别加 1 个背景类，共 60 类。</w:t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t>（3）COCO-Stuff-10K：包含 171 个语义类别，训练集 9000 张，测试集 1000 张。</w:t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t>此外，作者选用了六个 Transformer-based baseline 进行验证，包括 SegViT-Single、SegViT-Cascade、SegFormer、SETR、Swin-Semantic FPN 和 Mask2Former，用于说明 DAM 的通用性。</w:t>
      </w:r>
    </w:p>
    <w:p w14:paraId="234D75E9">
      <w:pPr>
        <w:spacing w:line="263" w:lineRule="auto"/>
        <w:rPr>
          <w:rFonts w:ascii="Arial"/>
          <w:sz w:val="21"/>
        </w:rPr>
      </w:pPr>
    </w:p>
    <w:p w14:paraId="276495D5">
      <w:pPr>
        <w:pStyle w:val="4"/>
        <w:spacing w:before="98" w:line="220" w:lineRule="auto"/>
        <w:ind w:left="25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>6.</w:t>
      </w:r>
      <w:r>
        <w:rPr>
          <w:rFonts w:ascii="Times New Roman" w:hAnsi="Times New Roman" w:eastAsia="Times New Roman" w:cs="Times New Roman"/>
          <w:b/>
          <w:bCs/>
          <w:spacing w:val="30"/>
          <w:sz w:val="30"/>
          <w:szCs w:val="30"/>
        </w:rPr>
        <w:t xml:space="preserve">  </w:t>
      </w:r>
      <w:r>
        <w:rPr>
          <w:b/>
          <w:bCs/>
          <w:spacing w:val="-6"/>
          <w:sz w:val="30"/>
          <w:szCs w:val="30"/>
        </w:rPr>
        <w:t>测试指标</w:t>
      </w:r>
    </w:p>
    <w:p w14:paraId="29AB7BB4">
      <w:pPr>
        <w:spacing w:line="310" w:lineRule="auto"/>
        <w:rPr>
          <w:rFonts w:ascii="Arial"/>
          <w:sz w:val="21"/>
        </w:rPr>
      </w:pPr>
    </w:p>
    <w:p w14:paraId="6AB0403C">
      <w:pPr>
        <w:spacing w:after="120" w:line="360" w:lineRule="auto"/>
        <w:ind w:firstLine="500" w:firstLineChars="0"/>
        <w:jc w:val="left"/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本文采用的核心测试指标为 mean Intersection over Union（mIoU），即对所有类别 IoU 求平均。作者分别在单尺度（SS）和部分多尺度（MS）设定下报告结果，并同时统计参数量（Params）、计算量（FLOPs）与推理速度（FPS），以评估模型性能与开销之间的平衡。</w:t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  <w:shd w:val="clear" w:color="FFFFFF" w:fill="D9D9D9"/>
        </w:rPr>
        <w:t>与基线的比较：</w:t>
      </w:r>
      <w:r>
        <w:rPr>
          <w:rFonts w:ascii="宋体" w:hAnsi="宋体" w:eastAsia="宋体"/>
          <w:sz w:val="22"/>
        </w:rPr>
        <w:br w:type="textWrapping"/>
      </w:r>
      <w:r>
        <w:rPr>
          <w:rFonts w:hint="eastAsia" w:ascii="宋体" w:hAnsi="宋体" w:eastAsia="宋体"/>
          <w:sz w:val="22"/>
          <w:lang w:val="en-US" w:eastAsia="zh-CN"/>
        </w:rPr>
        <w:tab/>
      </w:r>
      <w:r>
        <w:rPr>
          <w:rFonts w:ascii="宋体" w:hAnsi="宋体" w:eastAsia="宋体"/>
          <w:sz w:val="22"/>
        </w:rPr>
        <w:t>DAM 在不同基线和多个数据集上均带来稳定提升。例如，以 SegViT-Single-S 为基线时，加入 DAM 后在 PASCAL-Context、ADE20K、COCO-Stuff-10K 上分别提升 2.6、2.0 和 2.6 个 mIoU，额外参数和 FLOPs 增量较小。对其他模型如 SegFormer、Mask2Former、SETR 等，DAM 也均取得 0.6 到 2.0 mIoU 左右的提升，说明该模块具有较好的可迁移性和成本收益比。</w:t>
      </w:r>
    </w:p>
    <w:p w14:paraId="6C46F52F">
      <w:pPr>
        <w:spacing w:after="120" w:line="360" w:lineRule="auto"/>
        <w:jc w:val="left"/>
        <w:rPr>
          <w:rFonts w:hint="eastAsia" w:ascii="宋体" w:hAnsi="宋体" w:eastAsia="宋体"/>
          <w:sz w:val="22"/>
          <w:lang w:eastAsia="zh-CN"/>
        </w:rPr>
      </w:pPr>
      <w:r>
        <w:rPr>
          <w:rFonts w:hint="eastAsia" w:ascii="宋体" w:hAnsi="宋体" w:eastAsia="宋体"/>
          <w:sz w:val="22"/>
          <w:lang w:eastAsia="zh-CN"/>
        </w:rPr>
        <w:drawing>
          <wp:inline distT="0" distB="0" distL="114300" distR="114300">
            <wp:extent cx="5293360" cy="2573020"/>
            <wp:effectExtent l="0" t="0" r="2540" b="1778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5C78">
      <w:pPr>
        <w:spacing w:after="120" w:line="360" w:lineRule="auto"/>
        <w:ind w:firstLine="500" w:firstLineChars="0"/>
        <w:jc w:val="left"/>
        <w:rPr>
          <w:rFonts w:ascii="宋体" w:hAnsi="宋体" w:eastAsia="宋体"/>
          <w:sz w:val="22"/>
        </w:rPr>
      </w:pPr>
    </w:p>
    <w:p w14:paraId="33A61FCF">
      <w:pPr>
        <w:pStyle w:val="4"/>
        <w:spacing w:before="314" w:line="218" w:lineRule="auto"/>
        <w:ind w:left="24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7.</w:t>
      </w:r>
      <w:r>
        <w:rPr>
          <w:rFonts w:ascii="Times New Roman" w:hAnsi="Times New Roman" w:eastAsia="Times New Roman" w:cs="Times New Roman"/>
          <w:b/>
          <w:bCs/>
          <w:spacing w:val="35"/>
          <w:w w:val="101"/>
          <w:sz w:val="30"/>
          <w:szCs w:val="30"/>
        </w:rPr>
        <w:t xml:space="preserve">  </w:t>
      </w:r>
      <w:r>
        <w:rPr>
          <w:b/>
          <w:bCs/>
          <w:spacing w:val="-4"/>
          <w:sz w:val="30"/>
          <w:szCs w:val="30"/>
        </w:rPr>
        <w:t>作者工作评价（优点、缺点、后续工作要点）</w:t>
      </w:r>
    </w:p>
    <w:p w14:paraId="4590CF35">
      <w:pPr>
        <w:spacing w:line="270" w:lineRule="auto"/>
        <w:rPr>
          <w:rFonts w:ascii="Arial"/>
          <w:sz w:val="21"/>
        </w:rPr>
      </w:pPr>
    </w:p>
    <w:p w14:paraId="7226C0EA">
      <w:pPr>
        <w:spacing w:after="120" w:line="360" w:lineRule="auto"/>
        <w:jc w:val="left"/>
        <w:rPr>
          <w:rFonts w:ascii="Arial"/>
          <w:sz w:val="21"/>
        </w:rPr>
      </w:pPr>
      <w:r>
        <w:rPr>
          <w:rFonts w:ascii="宋体" w:hAnsi="宋体" w:eastAsia="宋体"/>
          <w:sz w:val="22"/>
        </w:rPr>
        <w:t>优点：第一，作者提出的问题较明确，抓住了 Transformer 语义分割中容易被忽视的编码特征不均匀问题。第二，DAM 结构清晰，由 SSC、Dense Attention 和 GKU 三部分闭环组成，逻辑完整。第三，实验设计较充分，不仅覆盖多个数据集和多种 baseline，还通过消融实验验证了多尺度聚类、掩码策略、上采样设计等组件的有效性。第四，方法属于可插拔模块，在较小额外开销下获得了稳定性能增益。</w:t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t>缺点：第一，DAM 的收益依赖 baseline 编码器本身的能力，若基础模型错误较多，DAM 的上限也会受限。第二，SSC 中空间项与语义项采用固定融合方式，缺少更细致的权重设计。第三，虽然作者分析了 attention 分布和信息熵，但对不同类别、边界区域和极端场景的机制解释仍可进一步加强。</w:t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br w:type="textWrapping"/>
      </w:r>
      <w:r>
        <w:rPr>
          <w:rFonts w:ascii="宋体" w:hAnsi="宋体" w:eastAsia="宋体"/>
          <w:sz w:val="22"/>
        </w:rPr>
        <w:t>后续工作要点：可考虑设计可学习的空间-语义权重、自适应聚类比例、边界敏感的区域建模策略，以及与更强解码器或开放词汇分割框架结合，以进一步验证 DAM 的泛化能力与上限。</w:t>
      </w:r>
    </w:p>
    <w:p w14:paraId="4136E5DD">
      <w:pPr>
        <w:pStyle w:val="4"/>
        <w:spacing w:before="98" w:line="218" w:lineRule="auto"/>
        <w:ind w:left="24"/>
        <w:outlineLvl w:val="0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 xml:space="preserve">8.   </w:t>
      </w:r>
      <w:r>
        <w:rPr>
          <w:b/>
          <w:bCs/>
          <w:spacing w:val="-4"/>
          <w:sz w:val="30"/>
          <w:szCs w:val="30"/>
        </w:rPr>
        <w:t>自己对该论文的评价（优点、缺点、可改进方案</w:t>
      </w:r>
    </w:p>
    <w:p w14:paraId="307F6C03">
      <w:pPr>
        <w:pStyle w:val="5"/>
        <w:keepNext w:val="0"/>
        <w:keepLines w:val="0"/>
        <w:widowControl/>
        <w:suppressLineNumbers w:val="0"/>
        <w:ind w:firstLine="500" w:firstLineChars="0"/>
      </w:pPr>
      <w:r>
        <w:rPr>
          <w:rFonts w:hint="eastAsia" w:eastAsia="宋体"/>
          <w:lang w:val="en-US" w:eastAsia="zh-CN"/>
        </w:rPr>
        <w:t>基于</w:t>
      </w:r>
      <w:r>
        <w:t>原文</w:t>
      </w:r>
      <w:r>
        <w:rPr>
          <w:rFonts w:hint="eastAsia" w:eastAsia="宋体"/>
          <w:lang w:val="en-US" w:eastAsia="zh-CN"/>
        </w:rPr>
        <w:t>SSC公式</w:t>
      </w:r>
      <w:r>
        <w:t>优化为“</w:t>
      </w:r>
      <w:r>
        <w:rPr>
          <w:rStyle w:val="8"/>
        </w:rPr>
        <w:t>单参数约束 + 多尺度自适应</w:t>
      </w:r>
      <w:r>
        <w:t>”的形式。</w:t>
      </w:r>
    </w:p>
    <w:p w14:paraId="5A2A5B9C">
      <w:pPr>
        <w:pStyle w:val="5"/>
        <w:keepNext w:val="0"/>
        <w:keepLines w:val="0"/>
        <w:widowControl/>
        <w:suppressLineNumbers w:val="0"/>
        <w:ind w:firstLine="500" w:firstLineChars="0"/>
      </w:pPr>
      <w:r>
        <w:t>在保持空间项与语义项共同参与聚类的前提下，可令每个尺度仅学习一个权重参数，并满足互补约束，从而避免参数过多，同时增强不同尺度 SSC 的适应性。可写为：</w:t>
      </w:r>
    </w:p>
    <w:p w14:paraId="39052C56">
      <w:pPr>
        <w:pStyle w:val="5"/>
        <w:keepNext w:val="0"/>
        <w:keepLines w:val="0"/>
        <w:widowControl/>
        <w:suppressLineNumbers w:val="0"/>
        <w:ind w:firstLine="50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93995" cy="1835150"/>
            <wp:effectExtent l="0" t="0" r="1905" b="12700"/>
            <wp:docPr id="1" name="图片 1" descr="img_v3_0210a_e3f2951f-36f6-4aa1-88ee-ee9b21be19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10a_e3f2951f-36f6-4aa1-88ee-ee9b21be196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7" w:h="16839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05E39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028D8"/>
    <w:multiLevelType w:val="singleLevel"/>
    <w:tmpl w:val="5FA028D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790ED13C"/>
    <w:multiLevelType w:val="multilevel"/>
    <w:tmpl w:val="790ED1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434175"/>
    <w:rsid w:val="00844285"/>
    <w:rsid w:val="017D7CB0"/>
    <w:rsid w:val="0187215A"/>
    <w:rsid w:val="04860FD8"/>
    <w:rsid w:val="04C11604"/>
    <w:rsid w:val="059A2221"/>
    <w:rsid w:val="07EA7BD4"/>
    <w:rsid w:val="08465E80"/>
    <w:rsid w:val="08485973"/>
    <w:rsid w:val="09147B3C"/>
    <w:rsid w:val="09911EE9"/>
    <w:rsid w:val="09E86505"/>
    <w:rsid w:val="0B1520F6"/>
    <w:rsid w:val="0C0369FD"/>
    <w:rsid w:val="0C851169"/>
    <w:rsid w:val="0E350096"/>
    <w:rsid w:val="10CB29C9"/>
    <w:rsid w:val="110D797F"/>
    <w:rsid w:val="123879BB"/>
    <w:rsid w:val="130B7721"/>
    <w:rsid w:val="13223BB5"/>
    <w:rsid w:val="14016589"/>
    <w:rsid w:val="16696A6C"/>
    <w:rsid w:val="169B6F73"/>
    <w:rsid w:val="17030D5E"/>
    <w:rsid w:val="18567E5D"/>
    <w:rsid w:val="19E6347B"/>
    <w:rsid w:val="1D6A0633"/>
    <w:rsid w:val="1DBC650F"/>
    <w:rsid w:val="20590FF2"/>
    <w:rsid w:val="20FD3939"/>
    <w:rsid w:val="20FF5536"/>
    <w:rsid w:val="22827E15"/>
    <w:rsid w:val="23947475"/>
    <w:rsid w:val="23FE27AE"/>
    <w:rsid w:val="2405596F"/>
    <w:rsid w:val="257230CA"/>
    <w:rsid w:val="25920B1C"/>
    <w:rsid w:val="26A1499A"/>
    <w:rsid w:val="27192A70"/>
    <w:rsid w:val="272A40F8"/>
    <w:rsid w:val="279B3ADF"/>
    <w:rsid w:val="29194CBB"/>
    <w:rsid w:val="2BD107CE"/>
    <w:rsid w:val="2C8D2179"/>
    <w:rsid w:val="2D4F6F0C"/>
    <w:rsid w:val="2DDD44FF"/>
    <w:rsid w:val="2EBA484A"/>
    <w:rsid w:val="2EE13583"/>
    <w:rsid w:val="2F155773"/>
    <w:rsid w:val="2F3D1784"/>
    <w:rsid w:val="2F4B0021"/>
    <w:rsid w:val="312A779E"/>
    <w:rsid w:val="32C75E2C"/>
    <w:rsid w:val="340E72AC"/>
    <w:rsid w:val="34B1148A"/>
    <w:rsid w:val="39EE5CF0"/>
    <w:rsid w:val="3A91085B"/>
    <w:rsid w:val="3E3006E5"/>
    <w:rsid w:val="3F5B5CC8"/>
    <w:rsid w:val="4388295E"/>
    <w:rsid w:val="44FC39B7"/>
    <w:rsid w:val="46064E72"/>
    <w:rsid w:val="478A0C50"/>
    <w:rsid w:val="47C1611F"/>
    <w:rsid w:val="47C96AAB"/>
    <w:rsid w:val="48707469"/>
    <w:rsid w:val="48CE7418"/>
    <w:rsid w:val="4A665AC8"/>
    <w:rsid w:val="4A991253"/>
    <w:rsid w:val="4BD72E77"/>
    <w:rsid w:val="4E273DE5"/>
    <w:rsid w:val="4E6C139F"/>
    <w:rsid w:val="503C110B"/>
    <w:rsid w:val="50BB6FC2"/>
    <w:rsid w:val="52E0261D"/>
    <w:rsid w:val="56C14EA5"/>
    <w:rsid w:val="58ED38EB"/>
    <w:rsid w:val="59B76C7A"/>
    <w:rsid w:val="5AAD63A3"/>
    <w:rsid w:val="5BB02EA3"/>
    <w:rsid w:val="5C5A34F3"/>
    <w:rsid w:val="5D043D93"/>
    <w:rsid w:val="5D45320E"/>
    <w:rsid w:val="5DC40368"/>
    <w:rsid w:val="5E3C3095"/>
    <w:rsid w:val="5E55500A"/>
    <w:rsid w:val="5EF31618"/>
    <w:rsid w:val="605B3734"/>
    <w:rsid w:val="614442C4"/>
    <w:rsid w:val="619E78CC"/>
    <w:rsid w:val="621748AF"/>
    <w:rsid w:val="62744735"/>
    <w:rsid w:val="637F22C6"/>
    <w:rsid w:val="654666FA"/>
    <w:rsid w:val="665E7BD6"/>
    <w:rsid w:val="67211A19"/>
    <w:rsid w:val="69360996"/>
    <w:rsid w:val="698E4AF7"/>
    <w:rsid w:val="69D57C48"/>
    <w:rsid w:val="6A4122F5"/>
    <w:rsid w:val="6A4A2C37"/>
    <w:rsid w:val="6A777F0C"/>
    <w:rsid w:val="6ACD0E86"/>
    <w:rsid w:val="6D704663"/>
    <w:rsid w:val="6E8E4DD0"/>
    <w:rsid w:val="6F0137F4"/>
    <w:rsid w:val="707B619A"/>
    <w:rsid w:val="745D7787"/>
    <w:rsid w:val="7879264D"/>
    <w:rsid w:val="7C766038"/>
    <w:rsid w:val="7D2810CB"/>
    <w:rsid w:val="7DF662C3"/>
    <w:rsid w:val="7F0D50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623</Words>
  <Characters>781</Characters>
  <TotalTime>10</TotalTime>
  <ScaleCrop>false</ScaleCrop>
  <LinksUpToDate>false</LinksUpToDate>
  <CharactersWithSpaces>827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2023-05-04T22:10:00Z</dcterms:created>
  <dc:creator>Peinture</dc:creator>
  <cp:lastModifiedBy>Circle^B</cp:lastModifiedBy>
  <dcterms:modified xsi:type="dcterms:W3CDTF">2026-03-31T02:59:44Z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2025-12-07T16:03:09Z</vt:filetime>
  </property>
  <property fmtid="{D5CDD505-2E9C-101B-9397-08002B2CF9AE}" pid="4" name="KSOTemplateDocerSaveRecord">
    <vt:lpwstr>eyJoZGlkIjoiMjJmNjg5ZDNkNWMzMjM2Yjc5ZTU2YjdiNjc3NWNlY2MiLCJ1c2VySWQiOiI0MTgzMjQxNTQifQ==</vt:lpwstr>
  </property>
  <property fmtid="{D5CDD505-2E9C-101B-9397-08002B2CF9AE}" pid="5" name="KSOProductBuildVer">
    <vt:lpwstr>2052-12.1.0.25225</vt:lpwstr>
  </property>
  <property fmtid="{D5CDD505-2E9C-101B-9397-08002B2CF9AE}" pid="6" name="ICV">
    <vt:lpwstr>6AE3D63909814CCDB2235D24C173828D_13</vt:lpwstr>
  </property>
</Properties>
</file>