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CDAF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AI在医学和生化领域的应用前景仍非常广泛且亟待满足多方面需求。</w:t>
      </w:r>
    </w:p>
    <w:p w14:paraId="5FE56C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3F5D470">
      <w:pP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none"/>
          <w:lang w:val="en-US" w:eastAsia="zh-CN"/>
        </w:rPr>
        <w:t>基于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以下三个不同类型的痛点：</w:t>
      </w:r>
    </w:p>
    <w:p w14:paraId="6B3EC525"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无论是人工还是早期AI，传统的病理分析主要依赖于形态学“模式识别”。</w:t>
      </w:r>
    </w:p>
    <w:p w14:paraId="11BE8BEA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高质量、像素级标注的病理数据集是稀缺资源，是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影响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AI发展的枷锁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之一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640EDBF1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无论AI模型多强大，如果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用户无法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理解、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难以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信任，就无法落地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无法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解决AI落地的“最后一公里”。</w:t>
      </w:r>
    </w:p>
    <w:p w14:paraId="3BA0F6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A1822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我粗浅提出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三种方案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</w:p>
    <w:p w14:paraId="03A08F06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rStyle w:val="6"/>
          <w:rFonts w:hint="eastAsia" w:ascii="宋体" w:hAnsi="宋体" w:eastAsia="宋体" w:cs="宋体"/>
          <w:b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6"/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全切片图像（WSI）的多模态融合分析</w:t>
      </w:r>
      <w:bookmarkStart w:id="0" w:name="_GoBack"/>
      <w:bookmarkEnd w:id="0"/>
    </w:p>
    <w:p w14:paraId="25CE95B9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240" w:beforeAutospacing="0" w:after="120" w:afterAutospacing="0" w:line="420" w:lineRule="atLeast"/>
        <w:ind w:leftChars="0" w:right="0" w:rightChars="0"/>
        <w:outlineLvl w:val="3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目的——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结合病理图像、基因组学（如基因突变、表达谱）、临床数据（如病历、影像），构建多模态融合模型，提升癌症分型、预后预测的准确性。</w:t>
      </w:r>
    </w:p>
    <w:p w14:paraId="654451F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111CC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价值——诊疗范式升维，Multimodal Fusion将这一视角从单一形态学研究拓展到系统生物学层面，实现根本性改变。</w:t>
      </w:r>
    </w:p>
    <w:p w14:paraId="3791CC41">
      <w:pPr>
        <w:rPr>
          <w:rFonts w:hint="eastAsia" w:ascii="宋体" w:hAnsi="宋体" w:eastAsia="宋体" w:cs="宋体"/>
          <w:sz w:val="24"/>
          <w:szCs w:val="24"/>
        </w:rPr>
      </w:pPr>
    </w:p>
    <w:p w14:paraId="3D5EAA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可行——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技术上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</w:p>
    <w:p w14:paraId="65E6AE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①使用视觉Transformer或卷积神经网络提取WSI特征。</w:t>
      </w:r>
    </w:p>
    <w:p w14:paraId="592BE4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②引入注意力机制动态融合多模态数据（如图像特征+基因突变热点）。</w:t>
      </w:r>
    </w:p>
    <w:p w14:paraId="65BACF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③可尝试生成式AI合成罕见病例数据，解决样本不平衡问题。</w:t>
      </w:r>
    </w:p>
    <w:p w14:paraId="0752F39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应用上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：乳腺癌或者结直肠癌的分子分型</w:t>
      </w:r>
    </w:p>
    <w:p w14:paraId="042C1B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A93D515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Style w:val="6"/>
          <w:rFonts w:hint="eastAsia" w:ascii="宋体" w:hAnsi="宋体" w:eastAsia="宋体" w:cs="宋体"/>
          <w:b/>
          <w:caps w:val="0"/>
          <w:color w:val="0F1115"/>
          <w:spacing w:val="0"/>
          <w:sz w:val="24"/>
          <w:szCs w:val="24"/>
          <w:shd w:val="clear" w:fill="FFFFFF"/>
        </w:rPr>
        <w:t>弱监督与自监督学习在病理诊断中的应用</w:t>
      </w:r>
    </w:p>
    <w:p w14:paraId="1530E2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2F5B60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目的——病理标注成本高，可利用弱监督学习（多实例学习、MIL）或自监督预训练，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降低对精细标注的依赖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47DBFA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66E15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价值——解放生产力、极大降低AI开发门槛和成本。总之就是：打破数据标注的困境，实现AI的可扩展性，在应用环节呈现优秀泛化能力</w:t>
      </w:r>
    </w:p>
    <w:p w14:paraId="636017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995F6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可行——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技术上：</w:t>
      </w:r>
    </w:p>
    <w:p w14:paraId="2D4558C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①使用MIL多示例学习把WSI划分为多个区域，可以用于病灶是否转移以及其他情况。</w:t>
      </w:r>
    </w:p>
    <w:p w14:paraId="2B96B2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②还可以结合对比学习，从无标注的WSI中学习细胞形态特征（同样可以应用于分子结构分析）。</w:t>
      </w:r>
    </w:p>
    <w:p w14:paraId="3A66D7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应用上：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淋巴结转移检测，肿瘤微环境分析</w:t>
      </w:r>
    </w:p>
    <w:p w14:paraId="4F7AB71E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eastAsia" w:ascii="宋体" w:hAnsi="宋体" w:eastAsia="宋体" w:cs="宋体"/>
          <w:b/>
          <w:caps w:val="0"/>
          <w:color w:val="0F1115"/>
          <w:spacing w:val="0"/>
          <w:sz w:val="24"/>
          <w:szCs w:val="24"/>
          <w:shd w:val="clear" w:fill="FFFFFF"/>
        </w:rPr>
        <w:t>动态病理过程建模与预后预测</w:t>
      </w:r>
    </w:p>
    <w:p w14:paraId="37CA5334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240" w:beforeAutospacing="0" w:after="120" w:afterAutospacing="0" w:line="420" w:lineRule="atLeast"/>
        <w:ind w:leftChars="0" w:right="0" w:rightChars="0"/>
        <w:outlineLvl w:val="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4734A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目的——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开发可解释性AI系统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XAI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，不仅给出诊断结果，同时高亮关键区域，辅助病理医生复核。</w:t>
      </w:r>
    </w:p>
    <w:p w14:paraId="5A2E032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45C1E2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价值——人机协同，降低医生重复的低级劳动时间。医生可以对AI预测进行修正与反馈，AI可以帮助医生快速筛查和阅片，彼此形成正反馈进行持续学习和迭代优化。</w:t>
      </w:r>
    </w:p>
    <w:p w14:paraId="00183E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D5D68A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9CAD2AC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可行——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技术上：</w:t>
      </w:r>
    </w:p>
    <w:p w14:paraId="0F6632E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①采用Grad-CAM、注意力图可视化模型决策依据</w:t>
      </w:r>
    </w:p>
    <w:p w14:paraId="1456F08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②前端模块设计人机交互界面（HMI），让医生能够对AI结果修正并反馈用于修正迭代</w:t>
      </w:r>
    </w:p>
    <w:p w14:paraId="6992B67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应用上：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早期病理分级、疑难病理会诊帮助</w:t>
      </w:r>
    </w:p>
    <w:p w14:paraId="7B1E97C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94B68F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515D7A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上述三种方案已有初步的成功案例，而且仍然值得我们进一步求索和精进。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开源工具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也有可支持的数字病理分析平台QuPath支持AI Modular Extension；有可供处理WSI的python库OpenSlide；有公共开放的病理数据库MIMIC-Ⅳ。</w:t>
      </w:r>
    </w:p>
    <w:p w14:paraId="2E6F31C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A21163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方案写到这里，我们也不难发现提出的这三种还具备联动潜力，在功能完善的阶段之后，可以共同构建智能的病理生态系统。方案一侧重‘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多模态融合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’；方案二侧重‘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弱监督/自监督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’；方案三侧重‘XAI与人协同’。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E2926A"/>
    <w:multiLevelType w:val="singleLevel"/>
    <w:tmpl w:val="36E2926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3CCC61ED"/>
    <w:multiLevelType w:val="singleLevel"/>
    <w:tmpl w:val="3CCC61E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71653D"/>
    <w:rsid w:val="27B94366"/>
    <w:rsid w:val="34207B5A"/>
    <w:rsid w:val="4C444709"/>
    <w:rsid w:val="502C7557"/>
    <w:rsid w:val="5BF17FBD"/>
    <w:rsid w:val="5D070ACD"/>
    <w:rsid w:val="63880CC1"/>
    <w:rsid w:val="67963ECD"/>
    <w:rsid w:val="67BE7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2026-01-14T13:45:05Z</dcterms:created>
  <dc:creator>Administrator</dc:creator>
  <cp:lastModifiedBy>Circle^B</cp:lastModifiedBy>
  <dcterms:modified xsi:type="dcterms:W3CDTF">2026-01-14T14:36:58Z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eyJoZGlkIjoiNmYwZmJiMmY0OTkxYmI2YzcyN2U4NTE1M2JjYmU3MTMiLCJ1c2VySWQiOiI0MTgzMjQxNTQifQ==</vt:lpwstr>
  </property>
  <property fmtid="{D5CDD505-2E9C-101B-9397-08002B2CF9AE}" pid="4" name="ICV">
    <vt:lpwstr>76FFF12AF7DA446599E23743651D10F6_12</vt:lpwstr>
  </property>
</Properties>
</file>