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B244D" w14:textId="39CF9B86" w:rsidR="00CB22E8" w:rsidRDefault="006F4062" w:rsidP="006F4062">
      <w:pPr>
        <w:spacing w:after="0"/>
        <w:jc w:val="center"/>
        <w:rPr>
          <w:b/>
          <w:bCs/>
          <w:color w:val="BF8F00" w:themeColor="accent4" w:themeShade="BF"/>
          <w:sz w:val="48"/>
          <w:szCs w:val="48"/>
          <w:u w:val="single"/>
        </w:rPr>
      </w:pPr>
      <w:r w:rsidRPr="006F4062">
        <w:rPr>
          <w:b/>
          <w:bCs/>
          <w:color w:val="BF8F00" w:themeColor="accent4" w:themeShade="BF"/>
          <w:sz w:val="48"/>
          <w:szCs w:val="48"/>
          <w:u w:val="single"/>
        </w:rPr>
        <w:t>ADC Controller</w:t>
      </w:r>
    </w:p>
    <w:tbl>
      <w:tblPr>
        <w:tblStyle w:val="TableGrid"/>
        <w:tblW w:w="10775" w:type="dxa"/>
        <w:tblLook w:val="04A0" w:firstRow="1" w:lastRow="0" w:firstColumn="1" w:lastColumn="0" w:noHBand="0" w:noVBand="1"/>
      </w:tblPr>
      <w:tblGrid>
        <w:gridCol w:w="10775"/>
      </w:tblGrid>
      <w:tr w:rsidR="006F4062" w14:paraId="27DEDD1F" w14:textId="77777777" w:rsidTr="006F4062">
        <w:trPr>
          <w:trHeight w:val="8568"/>
        </w:trPr>
        <w:tc>
          <w:tcPr>
            <w:tcW w:w="10775" w:type="dxa"/>
          </w:tcPr>
          <w:p w14:paraId="2BD5BAEA" w14:textId="7AA7DDFD" w:rsidR="006F4062" w:rsidRDefault="006F4062" w:rsidP="006F4062">
            <w:pPr>
              <w:spacing w:after="0"/>
            </w:pPr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417075E1" w14:textId="076ACDA1" w:rsidR="006F4062" w:rsidRDefault="006F4062" w:rsidP="006F4062">
            <w:pPr>
              <w:spacing w:after="0"/>
            </w:pPr>
          </w:p>
          <w:p w14:paraId="12670E89" w14:textId="77777777" w:rsidR="006F4062" w:rsidRDefault="006F4062" w:rsidP="006F4062">
            <w:pPr>
              <w:spacing w:after="0"/>
            </w:pPr>
            <w:r>
              <w:t xml:space="preserve">  </w:t>
            </w:r>
            <w:proofErr w:type="spellStart"/>
            <w:r>
              <w:t>Serial.begin</w:t>
            </w:r>
            <w:proofErr w:type="spellEnd"/>
            <w:r>
              <w:t>(9600);</w:t>
            </w:r>
          </w:p>
          <w:p w14:paraId="16A5506D" w14:textId="77777777" w:rsidR="006F4062" w:rsidRDefault="006F4062" w:rsidP="006F4062">
            <w:pPr>
              <w:spacing w:after="0"/>
            </w:pPr>
          </w:p>
          <w:p w14:paraId="5F0B10FB" w14:textId="42E95189" w:rsidR="006F4062" w:rsidRDefault="006F4062" w:rsidP="006F4062">
            <w:pPr>
              <w:spacing w:after="0"/>
            </w:pPr>
            <w:r>
              <w:t xml:space="preserve">  // Set the </w:t>
            </w:r>
            <w:proofErr w:type="spellStart"/>
            <w:r>
              <w:t>prescaler</w:t>
            </w:r>
            <w:proofErr w:type="spellEnd"/>
            <w:r>
              <w:t xml:space="preserve"> value between 80-320 (50kHz to 200kHz)</w:t>
            </w:r>
          </w:p>
          <w:p w14:paraId="46974D8B" w14:textId="77777777" w:rsidR="006F4062" w:rsidRDefault="006F4062" w:rsidP="006F4062">
            <w:pPr>
              <w:spacing w:after="0"/>
            </w:pPr>
            <w:r>
              <w:t xml:space="preserve">  ADCSRA |= (1&lt;&lt;ADPS2 | 1&lt;&lt;ADPS1 | 1&lt;&lt;ADPS0); // </w:t>
            </w:r>
            <w:proofErr w:type="spellStart"/>
            <w:r>
              <w:t>Prescaler</w:t>
            </w:r>
            <w:proofErr w:type="spellEnd"/>
            <w:r>
              <w:t xml:space="preserve"> 128</w:t>
            </w:r>
          </w:p>
          <w:p w14:paraId="3586979A" w14:textId="77777777" w:rsidR="006F4062" w:rsidRDefault="006F4062" w:rsidP="006F4062">
            <w:pPr>
              <w:spacing w:after="0"/>
            </w:pPr>
            <w:r>
              <w:t>//</w:t>
            </w:r>
            <w:proofErr w:type="gramStart"/>
            <w:r>
              <w:t>ADMUX  |</w:t>
            </w:r>
            <w:proofErr w:type="gramEnd"/>
            <w:r>
              <w:t>= 1&lt;&lt;ADLAR; // For the left adjustment of the result</w:t>
            </w:r>
          </w:p>
          <w:p w14:paraId="0772BB14" w14:textId="56E4424C" w:rsidR="006F4062" w:rsidRDefault="006F4062" w:rsidP="006F4062">
            <w:pPr>
              <w:spacing w:after="0"/>
            </w:pPr>
            <w:r>
              <w:t xml:space="preserve">  </w:t>
            </w:r>
            <w:proofErr w:type="gramStart"/>
            <w:r>
              <w:t>ADMUX  |</w:t>
            </w:r>
            <w:proofErr w:type="gramEnd"/>
            <w:r>
              <w:t>= 1&lt;&lt;MUX1;  // Set the ADC pin 2 or A2</w:t>
            </w:r>
          </w:p>
          <w:p w14:paraId="577F905B" w14:textId="77777777" w:rsidR="006F4062" w:rsidRDefault="006F4062" w:rsidP="006F4062">
            <w:pPr>
              <w:spacing w:after="0"/>
            </w:pPr>
            <w:r>
              <w:t xml:space="preserve">  </w:t>
            </w:r>
            <w:proofErr w:type="gramStart"/>
            <w:r>
              <w:t>ADMUX  |</w:t>
            </w:r>
            <w:proofErr w:type="gramEnd"/>
            <w:r>
              <w:t>= 1&lt;&lt;REFS0; // Voltage reference from internal VCC</w:t>
            </w:r>
          </w:p>
          <w:p w14:paraId="53D1E5B3" w14:textId="0CDA3ACF" w:rsidR="006F4062" w:rsidRDefault="006F4062" w:rsidP="006F4062">
            <w:pPr>
              <w:spacing w:after="0"/>
            </w:pPr>
            <w:r>
              <w:t xml:space="preserve">  ADCSRA |= 1&lt;&lt;ADIE; // Enable the ADC Interrupt</w:t>
            </w:r>
          </w:p>
          <w:p w14:paraId="3665DA6C" w14:textId="77777777" w:rsidR="006F4062" w:rsidRDefault="006F4062" w:rsidP="006F4062">
            <w:pPr>
              <w:spacing w:after="0"/>
            </w:pPr>
          </w:p>
          <w:p w14:paraId="7C792544" w14:textId="6886A430" w:rsidR="006F4062" w:rsidRDefault="006F4062" w:rsidP="006F4062">
            <w:pPr>
              <w:spacing w:after="0"/>
            </w:pPr>
            <w:r>
              <w:t xml:space="preserve">  ADCSRA |= 1&lt;&lt;</w:t>
            </w:r>
            <w:proofErr w:type="gramStart"/>
            <w:r>
              <w:t>ADEN;  /</w:t>
            </w:r>
            <w:proofErr w:type="gramEnd"/>
            <w:r>
              <w:t>/ Turn on ADC</w:t>
            </w:r>
          </w:p>
          <w:p w14:paraId="4E979F35" w14:textId="77777777" w:rsidR="006F4062" w:rsidRDefault="006F4062" w:rsidP="006F4062">
            <w:pPr>
              <w:spacing w:after="0"/>
            </w:pPr>
          </w:p>
          <w:p w14:paraId="29C397AF" w14:textId="7D0CD2A1" w:rsidR="006F4062" w:rsidRDefault="006F4062" w:rsidP="006F4062">
            <w:pPr>
              <w:spacing w:after="0"/>
            </w:pPr>
            <w:r>
              <w:t xml:space="preserve">  ADCSRA |= 1&lt;&lt;</w:t>
            </w:r>
            <w:proofErr w:type="gramStart"/>
            <w:r>
              <w:t>ADSC;  /</w:t>
            </w:r>
            <w:proofErr w:type="gramEnd"/>
            <w:r>
              <w:t>/ Start the first conversion</w:t>
            </w:r>
          </w:p>
          <w:p w14:paraId="4F9EEFD6" w14:textId="77777777" w:rsidR="006F4062" w:rsidRDefault="006F4062" w:rsidP="006F4062">
            <w:pPr>
              <w:spacing w:after="0"/>
            </w:pPr>
          </w:p>
          <w:p w14:paraId="51F1DC06" w14:textId="5C7F67C6" w:rsidR="006F4062" w:rsidRDefault="006F4062" w:rsidP="006F4062">
            <w:pPr>
              <w:spacing w:after="0"/>
            </w:pPr>
            <w:proofErr w:type="gramStart"/>
            <w:r>
              <w:t>while(</w:t>
            </w:r>
            <w:proofErr w:type="gramEnd"/>
            <w:r>
              <w:t>1){}</w:t>
            </w:r>
          </w:p>
          <w:p w14:paraId="03319540" w14:textId="3EE118C1" w:rsidR="006F4062" w:rsidRDefault="006F4062" w:rsidP="006F4062">
            <w:pPr>
              <w:spacing w:after="0"/>
            </w:pPr>
            <w:r>
              <w:t>}</w:t>
            </w:r>
          </w:p>
          <w:p w14:paraId="20377C5D" w14:textId="77777777" w:rsidR="006F4062" w:rsidRDefault="006F4062" w:rsidP="006F4062">
            <w:pPr>
              <w:spacing w:after="0"/>
            </w:pPr>
          </w:p>
          <w:p w14:paraId="0BAAB38A" w14:textId="77777777" w:rsidR="006F4062" w:rsidRDefault="006F4062" w:rsidP="006F4062">
            <w:pPr>
              <w:spacing w:after="0"/>
            </w:pPr>
            <w:r>
              <w:t>ISR(ADC_</w:t>
            </w:r>
            <w:proofErr w:type="gramStart"/>
            <w:r>
              <w:t>vect){</w:t>
            </w:r>
            <w:proofErr w:type="gramEnd"/>
          </w:p>
          <w:p w14:paraId="2EB65EA5" w14:textId="77777777" w:rsidR="006F4062" w:rsidRDefault="006F4062" w:rsidP="006F4062">
            <w:pPr>
              <w:spacing w:after="0"/>
            </w:pPr>
            <w:r>
              <w:t xml:space="preserve">  uint16_t </w:t>
            </w:r>
            <w:proofErr w:type="spellStart"/>
            <w:r>
              <w:t>tenBitValue</w:t>
            </w:r>
            <w:proofErr w:type="spellEnd"/>
            <w:r>
              <w:t>;</w:t>
            </w:r>
          </w:p>
          <w:p w14:paraId="2559AB8C" w14:textId="77777777" w:rsidR="006F4062" w:rsidRDefault="006F4062" w:rsidP="006F4062">
            <w:pPr>
              <w:spacing w:after="0"/>
            </w:pPr>
          </w:p>
          <w:p w14:paraId="7C16D7E6" w14:textId="77777777" w:rsidR="006F4062" w:rsidRDefault="006F4062" w:rsidP="006F4062">
            <w:pPr>
              <w:spacing w:after="0"/>
            </w:pPr>
            <w:r>
              <w:t xml:space="preserve">  // Assign of </w:t>
            </w:r>
            <w:proofErr w:type="gramStart"/>
            <w:r>
              <w:t>10 bit</w:t>
            </w:r>
            <w:proofErr w:type="gramEnd"/>
            <w:r>
              <w:t xml:space="preserve"> value into </w:t>
            </w:r>
            <w:proofErr w:type="spellStart"/>
            <w:r>
              <w:t>tenBitValue</w:t>
            </w:r>
            <w:proofErr w:type="spellEnd"/>
            <w:r>
              <w:t xml:space="preserve"> variable</w:t>
            </w:r>
          </w:p>
          <w:p w14:paraId="13657BAF" w14:textId="77777777" w:rsidR="006F4062" w:rsidRDefault="006F4062" w:rsidP="006F4062">
            <w:pPr>
              <w:spacing w:after="0"/>
            </w:pPr>
            <w:r>
              <w:t xml:space="preserve">  </w:t>
            </w:r>
            <w:proofErr w:type="spellStart"/>
            <w:r>
              <w:t>tenBitValue</w:t>
            </w:r>
            <w:proofErr w:type="spellEnd"/>
            <w:r>
              <w:t xml:space="preserve"> = </w:t>
            </w:r>
            <w:proofErr w:type="gramStart"/>
            <w:r>
              <w:t xml:space="preserve">ADCL;   </w:t>
            </w:r>
            <w:proofErr w:type="gramEnd"/>
            <w:r>
              <w:t xml:space="preserve">   // assign of ADCL 8 bit value</w:t>
            </w:r>
          </w:p>
          <w:p w14:paraId="3746960E" w14:textId="77777777" w:rsidR="006F4062" w:rsidRDefault="006F4062" w:rsidP="006F4062">
            <w:pPr>
              <w:spacing w:after="0"/>
            </w:pPr>
            <w:r>
              <w:t xml:space="preserve">  </w:t>
            </w:r>
            <w:proofErr w:type="spellStart"/>
            <w:r>
              <w:t>tenBitValue</w:t>
            </w:r>
            <w:proofErr w:type="spellEnd"/>
            <w:r>
              <w:t xml:space="preserve"> |= ADCH&lt;&lt;</w:t>
            </w:r>
            <w:proofErr w:type="gramStart"/>
            <w:r>
              <w:t>8;  /</w:t>
            </w:r>
            <w:proofErr w:type="gramEnd"/>
            <w:r>
              <w:t>/ assign of ADCH 2 bit value</w:t>
            </w:r>
          </w:p>
          <w:p w14:paraId="29F77ABE" w14:textId="77777777" w:rsidR="006F4062" w:rsidRDefault="006F4062" w:rsidP="006F4062">
            <w:pPr>
              <w:spacing w:after="0"/>
            </w:pPr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</w:t>
            </w:r>
            <w:proofErr w:type="spellStart"/>
            <w:r>
              <w:t>tenBitValue</w:t>
            </w:r>
            <w:proofErr w:type="spellEnd"/>
            <w:r>
              <w:t>);</w:t>
            </w:r>
          </w:p>
          <w:p w14:paraId="162C94D5" w14:textId="77777777" w:rsidR="006F4062" w:rsidRDefault="006F4062" w:rsidP="006F4062">
            <w:pPr>
              <w:spacing w:after="0"/>
            </w:pPr>
          </w:p>
          <w:p w14:paraId="47565FA2" w14:textId="77777777" w:rsidR="006F4062" w:rsidRDefault="006F4062" w:rsidP="006F4062">
            <w:pPr>
              <w:spacing w:after="0"/>
            </w:pPr>
            <w:r>
              <w:t xml:space="preserve">  ADCSRA |= 1&lt;&lt;</w:t>
            </w:r>
            <w:proofErr w:type="gramStart"/>
            <w:r>
              <w:t>ADSC;  /</w:t>
            </w:r>
            <w:proofErr w:type="gramEnd"/>
            <w:r>
              <w:t>/ The next conversions</w:t>
            </w:r>
          </w:p>
          <w:p w14:paraId="579FA2CA" w14:textId="77777777" w:rsidR="006F4062" w:rsidRDefault="006F4062" w:rsidP="006F4062">
            <w:pPr>
              <w:spacing w:after="0"/>
            </w:pPr>
            <w:r>
              <w:t>}</w:t>
            </w:r>
          </w:p>
          <w:p w14:paraId="18203D5D" w14:textId="77777777" w:rsidR="006F4062" w:rsidRDefault="006F4062" w:rsidP="006F4062">
            <w:pPr>
              <w:rPr>
                <w:b/>
                <w:bCs/>
                <w:color w:val="BF8F00" w:themeColor="accent4" w:themeShade="BF"/>
                <w:sz w:val="24"/>
                <w:szCs w:val="24"/>
                <w:u w:val="single"/>
              </w:rPr>
            </w:pPr>
          </w:p>
        </w:tc>
      </w:tr>
    </w:tbl>
    <w:p w14:paraId="062DFF66" w14:textId="6C8E3EB7" w:rsidR="006F4062" w:rsidRPr="006F4062" w:rsidRDefault="006F4062" w:rsidP="006F4062">
      <w:pPr>
        <w:spacing w:after="0"/>
        <w:rPr>
          <w:b/>
          <w:bCs/>
          <w:color w:val="BF8F00" w:themeColor="accent4" w:themeShade="BF"/>
          <w:sz w:val="24"/>
          <w:szCs w:val="24"/>
          <w:u w:val="single"/>
        </w:rPr>
      </w:pPr>
      <w:r w:rsidRPr="006F4062">
        <w:rPr>
          <w:b/>
          <w:bCs/>
          <w:color w:val="BF8F00" w:themeColor="accent4" w:themeShade="BF"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3D251EF5" wp14:editId="37B641C8">
            <wp:simplePos x="0" y="0"/>
            <wp:positionH relativeFrom="column">
              <wp:posOffset>381635</wp:posOffset>
            </wp:positionH>
            <wp:positionV relativeFrom="paragraph">
              <wp:posOffset>149726</wp:posOffset>
            </wp:positionV>
            <wp:extent cx="6111770" cy="4275190"/>
            <wp:effectExtent l="228600" t="228600" r="232410" b="220980"/>
            <wp:wrapNone/>
            <wp:docPr id="49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0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275190"/>
                    </a:xfrm>
                    <a:prstGeom prst="rect">
                      <a:avLst/>
                    </a:prstGeom>
                    <a:effectLst>
                      <a:glow rad="228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4062" w:rsidRPr="006F4062" w:rsidSect="00CB61CF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CF"/>
    <w:rsid w:val="001325D8"/>
    <w:rsid w:val="00336673"/>
    <w:rsid w:val="006F4062"/>
    <w:rsid w:val="00CB22E8"/>
    <w:rsid w:val="00CB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08A9"/>
  <w15:chartTrackingRefBased/>
  <w15:docId w15:val="{2F0B25F2-CB39-440B-9680-1D58684A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kumar</dc:creator>
  <cp:keywords/>
  <dc:description/>
  <cp:lastModifiedBy>dharani kumar</cp:lastModifiedBy>
  <cp:revision>1</cp:revision>
  <dcterms:created xsi:type="dcterms:W3CDTF">2023-12-31T04:06:00Z</dcterms:created>
  <dcterms:modified xsi:type="dcterms:W3CDTF">2023-12-31T05:09:00Z</dcterms:modified>
</cp:coreProperties>
</file>