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记录员：邹翔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贾宇豪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word——郑子秋情况不确定，该能目前邹翔一人负责。目前完成前端框架搭建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图片处理——孙伟负责前端，邹翔负责后端，目前前端刚开始制作，后端等待word完成后开始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贾宇豪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