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Baseline characteristics Athero-Express SCRNA Study -- stratified by Gender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16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23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p-value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ORyear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trHeight w:val="618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(70%)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Artery_summary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2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artery known (yet), no surgery (patient ill, died, exited study), re-numbered to AAA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bypass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aneurysmata (carotid &amp; femoral)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aorta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arteries (renal, popliteal, vertebral)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 bypass, angioseal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(8)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TC_final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5.18 (1.63)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4.15 (0.80)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0.087</w:t>
            </w:r>
          </w:p>
        </w:tc>
      </w:tr>
      <w:tr>
        <w:trPr>
          <w:trHeight w:val="573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 (1.08)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2.24 (0.69)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trHeight w:val="573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1.20 (0.15)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1.09 (0.26)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3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TG_final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2.11 (0.82)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1.82 (1.24)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3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systolic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 (31)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diastoli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GFR_MDRD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 (23)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(36)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trHeight w:val="573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25.9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3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85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KDOQI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</w:t>
            </w:r>
          </w:p>
        </w:tc>
      </w:tr>
      <w:tr>
        <w:trPr>
          <w:trHeight w:val="61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1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BMI_WHO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61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SmokerStatus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Ex-smoker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 smoked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AlcoholUse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3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0.086</w:t>
            </w:r>
          </w:p>
        </w:tc>
      </w:tr>
      <w:tr>
        <w:trPr>
          <w:trHeight w:val="61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Hypertension.selfreport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Hypertension.selfreportdrug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61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Hypertension.composite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Med.anticoagulants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61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Med.all.antiplatelet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(77%)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Med.Statin.LLD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(82%)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1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Stroke_Dx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ischemisch glaucoom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Symptoms.5G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0.087</w:t>
            </w:r>
          </w:p>
        </w:tc>
      </w:tr>
      <w:tr>
        <w:trPr>
          <w:trHeight w:val="616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AsymptSympt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0.073</w:t>
            </w:r>
          </w:p>
        </w:tc>
      </w:tr>
      <w:tr>
        <w:trPr>
          <w:trHeight w:val="616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and 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(31%)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AsymptSympt2G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616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Symptoms.Update2G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616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Symptoms.Update3G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616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indexsymptoms_latest_4g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0.053</w:t>
            </w:r>
          </w:p>
        </w:tc>
      </w:tr>
      <w:tr>
        <w:trPr>
          <w:trHeight w:val="616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unclear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stenose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0-49%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 (Occlusion)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70-99%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CAD_history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CAD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8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PAOD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618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missing/no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Peripheral.interv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(87%)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1,303.00 (4,867.09)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2.33 (1.24)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EP_major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events (endpoints)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(6.7%)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EP_major_time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1,303.17 (4,867.05)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2.36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3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Plaque_Vulnerability_Index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Fisher's Exact Test for Count Data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Welch Two Sample t-test; Pearson's Chi-squared test with simulated p-value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(based on 2000 replicates); 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2025-07-02T10:59:12Z</dcterms:modified>
  <cp:category/>
</cp:coreProperties>
</file>