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586A" w14:textId="378831EE" w:rsidR="00FA784E" w:rsidRDefault="008F0AA7" w:rsidP="000A504D">
      <w:pPr>
        <w:spacing w:line="360" w:lineRule="auto"/>
        <w:jc w:val="center"/>
      </w:pPr>
      <w:r>
        <w:t xml:space="preserve">420-1B3 - </w:t>
      </w:r>
      <w:r w:rsidR="000A504D">
        <w:t>Bureautique</w:t>
      </w:r>
    </w:p>
    <w:p w14:paraId="4CAADE95" w14:textId="49EDED79" w:rsidR="000A504D" w:rsidRPr="005249C2" w:rsidRDefault="00866887" w:rsidP="000A504D">
      <w:pPr>
        <w:spacing w:line="360" w:lineRule="auto"/>
        <w:jc w:val="center"/>
        <w:rPr>
          <w:rFonts w:ascii="Bell MT" w:hAnsi="Bell MT"/>
          <w:b/>
          <w:bCs/>
          <w:i/>
          <w:iCs/>
          <w:sz w:val="96"/>
          <w:szCs w:val="96"/>
        </w:rPr>
      </w:pPr>
      <w:r w:rsidRPr="005249C2">
        <w:rPr>
          <w:rFonts w:ascii="Bell MT" w:hAnsi="Bell MT"/>
          <w:b/>
          <w:bCs/>
          <w:i/>
          <w:iCs/>
          <w:sz w:val="96"/>
          <w:szCs w:val="96"/>
        </w:rPr>
        <w:t>Block Chain</w:t>
      </w:r>
      <w:r w:rsidR="005249C2">
        <w:rPr>
          <w:rFonts w:ascii="Bell MT" w:hAnsi="Bell MT"/>
          <w:b/>
          <w:bCs/>
          <w:i/>
          <w:iCs/>
          <w:sz w:val="96"/>
          <w:szCs w:val="96"/>
        </w:rPr>
        <w:t xml:space="preserve"> </w:t>
      </w:r>
    </w:p>
    <w:p w14:paraId="7A8ACBDD" w14:textId="3B117E27" w:rsidR="000A504D" w:rsidRDefault="000A504D" w:rsidP="008F0AA7">
      <w:pPr>
        <w:spacing w:line="360" w:lineRule="auto"/>
        <w:jc w:val="center"/>
      </w:pPr>
      <w:r>
        <w:t>Cédric Daigneault (2132903)</w:t>
      </w:r>
      <w:r w:rsidR="008F0AA7">
        <w:t xml:space="preserve"> – Groupe 1020</w:t>
      </w:r>
    </w:p>
    <w:p w14:paraId="494DA6AA" w14:textId="47BC29DA" w:rsidR="000A504D" w:rsidRDefault="003B38CF">
      <w:r>
        <w:rPr>
          <w:noProof/>
        </w:rPr>
        <w:drawing>
          <wp:inline distT="0" distB="0" distL="0" distR="0" wp14:anchorId="204EF7CC" wp14:editId="65456336">
            <wp:extent cx="5612130" cy="3367405"/>
            <wp:effectExtent l="0" t="0" r="7620" b="4445"/>
            <wp:docPr id="1" name="Image 1" descr="Blockchain Technology Explained and What It Could Mean for the Caribbean -  Caribbean Development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Technology Explained and What It Could Mean for the Caribbean -  Caribbean Development Tre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67405"/>
                    </a:xfrm>
                    <a:prstGeom prst="rect">
                      <a:avLst/>
                    </a:prstGeom>
                    <a:noFill/>
                    <a:ln>
                      <a:noFill/>
                    </a:ln>
                  </pic:spPr>
                </pic:pic>
              </a:graphicData>
            </a:graphic>
          </wp:inline>
        </w:drawing>
      </w:r>
      <w:r w:rsidR="00866887">
        <w:rPr>
          <w:rStyle w:val="EndnoteReference"/>
        </w:rPr>
        <w:endnoteReference w:id="1"/>
      </w:r>
      <w:r w:rsidR="000A504D">
        <w:br w:type="page"/>
      </w:r>
    </w:p>
    <w:sdt>
      <w:sdtPr>
        <w:rPr>
          <w:rFonts w:asciiTheme="minorHAnsi" w:eastAsiaTheme="minorHAnsi" w:hAnsiTheme="minorHAnsi" w:cstheme="minorBidi"/>
          <w:b w:val="0"/>
          <w:bCs w:val="0"/>
          <w:color w:val="auto"/>
          <w:sz w:val="22"/>
          <w:szCs w:val="22"/>
          <w:lang w:val="fr-CA" w:eastAsia="en-US"/>
        </w:rPr>
        <w:id w:val="93916319"/>
        <w:docPartObj>
          <w:docPartGallery w:val="Table of Contents"/>
          <w:docPartUnique/>
        </w:docPartObj>
      </w:sdtPr>
      <w:sdtEndPr>
        <w:rPr>
          <w:lang w:val="fr-FR"/>
        </w:rPr>
      </w:sdtEndPr>
      <w:sdtContent>
        <w:p w14:paraId="764EE5A0" w14:textId="09211180" w:rsidR="000A504D" w:rsidRDefault="000A504D" w:rsidP="008F0AA7">
          <w:pPr>
            <w:pStyle w:val="TOCHeading"/>
          </w:pPr>
          <w:r>
            <w:t>Table des matières</w:t>
          </w:r>
        </w:p>
        <w:p w14:paraId="37DF5F9D" w14:textId="16A9025D" w:rsidR="00DF2295" w:rsidRDefault="000A504D">
          <w:pPr>
            <w:pStyle w:val="TOC1"/>
            <w:tabs>
              <w:tab w:val="right" w:leader="dot" w:pos="8828"/>
            </w:tabs>
            <w:rPr>
              <w:rFonts w:eastAsiaTheme="minorEastAsia"/>
              <w:noProof/>
              <w:lang w:eastAsia="fr-CA"/>
            </w:rPr>
          </w:pPr>
          <w:r>
            <w:fldChar w:fldCharType="begin"/>
          </w:r>
          <w:r>
            <w:instrText xml:space="preserve"> TOC \o "1-3" \h \z \u </w:instrText>
          </w:r>
          <w:r>
            <w:fldChar w:fldCharType="separate"/>
          </w:r>
          <w:hyperlink w:anchor="_Toc114438011" w:history="1">
            <w:r w:rsidR="00DF2295" w:rsidRPr="001F6CFC">
              <w:rPr>
                <w:rStyle w:val="Hyperlink"/>
                <w:noProof/>
              </w:rPr>
              <w:t>Aspects</w:t>
            </w:r>
            <w:r w:rsidR="00DF2295">
              <w:rPr>
                <w:noProof/>
                <w:webHidden/>
              </w:rPr>
              <w:tab/>
            </w:r>
            <w:r w:rsidR="00DF2295">
              <w:rPr>
                <w:noProof/>
                <w:webHidden/>
              </w:rPr>
              <w:fldChar w:fldCharType="begin"/>
            </w:r>
            <w:r w:rsidR="00DF2295">
              <w:rPr>
                <w:noProof/>
                <w:webHidden/>
              </w:rPr>
              <w:instrText xml:space="preserve"> PAGEREF _Toc114438011 \h </w:instrText>
            </w:r>
            <w:r w:rsidR="00DF2295">
              <w:rPr>
                <w:noProof/>
                <w:webHidden/>
              </w:rPr>
            </w:r>
            <w:r w:rsidR="00DF2295">
              <w:rPr>
                <w:noProof/>
                <w:webHidden/>
              </w:rPr>
              <w:fldChar w:fldCharType="separate"/>
            </w:r>
            <w:r w:rsidR="00DF2295">
              <w:rPr>
                <w:noProof/>
                <w:webHidden/>
              </w:rPr>
              <w:t>3</w:t>
            </w:r>
            <w:r w:rsidR="00DF2295">
              <w:rPr>
                <w:noProof/>
                <w:webHidden/>
              </w:rPr>
              <w:fldChar w:fldCharType="end"/>
            </w:r>
          </w:hyperlink>
        </w:p>
        <w:p w14:paraId="0F63D86A" w14:textId="74E35B69" w:rsidR="00DF2295" w:rsidRDefault="00DF2295">
          <w:pPr>
            <w:pStyle w:val="TOC2"/>
            <w:tabs>
              <w:tab w:val="right" w:leader="dot" w:pos="8828"/>
            </w:tabs>
            <w:rPr>
              <w:rFonts w:eastAsiaTheme="minorEastAsia"/>
              <w:noProof/>
              <w:lang w:eastAsia="fr-CA"/>
            </w:rPr>
          </w:pPr>
          <w:hyperlink w:anchor="_Toc114438012" w:history="1">
            <w:r w:rsidRPr="001F6CFC">
              <w:rPr>
                <w:rStyle w:val="Hyperlink"/>
                <w:noProof/>
              </w:rPr>
              <w:t>Aspects Historique</w:t>
            </w:r>
            <w:r>
              <w:rPr>
                <w:noProof/>
                <w:webHidden/>
              </w:rPr>
              <w:tab/>
            </w:r>
            <w:r>
              <w:rPr>
                <w:noProof/>
                <w:webHidden/>
              </w:rPr>
              <w:fldChar w:fldCharType="begin"/>
            </w:r>
            <w:r>
              <w:rPr>
                <w:noProof/>
                <w:webHidden/>
              </w:rPr>
              <w:instrText xml:space="preserve"> PAGEREF _Toc114438012 \h </w:instrText>
            </w:r>
            <w:r>
              <w:rPr>
                <w:noProof/>
                <w:webHidden/>
              </w:rPr>
            </w:r>
            <w:r>
              <w:rPr>
                <w:noProof/>
                <w:webHidden/>
              </w:rPr>
              <w:fldChar w:fldCharType="separate"/>
            </w:r>
            <w:r>
              <w:rPr>
                <w:noProof/>
                <w:webHidden/>
              </w:rPr>
              <w:t>3</w:t>
            </w:r>
            <w:r>
              <w:rPr>
                <w:noProof/>
                <w:webHidden/>
              </w:rPr>
              <w:fldChar w:fldCharType="end"/>
            </w:r>
          </w:hyperlink>
        </w:p>
        <w:p w14:paraId="04720DD6" w14:textId="18B285C1" w:rsidR="00DF2295" w:rsidRDefault="00DF2295">
          <w:pPr>
            <w:pStyle w:val="TOC2"/>
            <w:tabs>
              <w:tab w:val="right" w:leader="dot" w:pos="8828"/>
            </w:tabs>
            <w:rPr>
              <w:rFonts w:eastAsiaTheme="minorEastAsia"/>
              <w:noProof/>
              <w:lang w:eastAsia="fr-CA"/>
            </w:rPr>
          </w:pPr>
          <w:hyperlink w:anchor="_Toc114438013" w:history="1">
            <w:r w:rsidRPr="001F6CFC">
              <w:rPr>
                <w:rStyle w:val="Hyperlink"/>
                <w:noProof/>
              </w:rPr>
              <w:t>Fiabilité</w:t>
            </w:r>
            <w:r>
              <w:rPr>
                <w:noProof/>
                <w:webHidden/>
              </w:rPr>
              <w:tab/>
            </w:r>
            <w:r>
              <w:rPr>
                <w:noProof/>
                <w:webHidden/>
              </w:rPr>
              <w:fldChar w:fldCharType="begin"/>
            </w:r>
            <w:r>
              <w:rPr>
                <w:noProof/>
                <w:webHidden/>
              </w:rPr>
              <w:instrText xml:space="preserve"> PAGEREF _Toc114438013 \h </w:instrText>
            </w:r>
            <w:r>
              <w:rPr>
                <w:noProof/>
                <w:webHidden/>
              </w:rPr>
            </w:r>
            <w:r>
              <w:rPr>
                <w:noProof/>
                <w:webHidden/>
              </w:rPr>
              <w:fldChar w:fldCharType="separate"/>
            </w:r>
            <w:r>
              <w:rPr>
                <w:noProof/>
                <w:webHidden/>
              </w:rPr>
              <w:t>4</w:t>
            </w:r>
            <w:r>
              <w:rPr>
                <w:noProof/>
                <w:webHidden/>
              </w:rPr>
              <w:fldChar w:fldCharType="end"/>
            </w:r>
          </w:hyperlink>
        </w:p>
        <w:p w14:paraId="26898E7B" w14:textId="0C12CDB9" w:rsidR="00DF2295" w:rsidRDefault="00DF2295">
          <w:pPr>
            <w:pStyle w:val="TOC1"/>
            <w:tabs>
              <w:tab w:val="right" w:leader="dot" w:pos="8828"/>
            </w:tabs>
            <w:rPr>
              <w:rFonts w:eastAsiaTheme="minorEastAsia"/>
              <w:noProof/>
              <w:lang w:eastAsia="fr-CA"/>
            </w:rPr>
          </w:pPr>
          <w:hyperlink w:anchor="_Toc114438014" w:history="1">
            <w:r w:rsidRPr="001F6CFC">
              <w:rPr>
                <w:rStyle w:val="Hyperlink"/>
                <w:noProof/>
              </w:rPr>
              <w:t>Fonctionnement</w:t>
            </w:r>
            <w:r>
              <w:rPr>
                <w:noProof/>
                <w:webHidden/>
              </w:rPr>
              <w:tab/>
            </w:r>
            <w:r>
              <w:rPr>
                <w:noProof/>
                <w:webHidden/>
              </w:rPr>
              <w:fldChar w:fldCharType="begin"/>
            </w:r>
            <w:r>
              <w:rPr>
                <w:noProof/>
                <w:webHidden/>
              </w:rPr>
              <w:instrText xml:space="preserve"> PAGEREF _Toc114438014 \h </w:instrText>
            </w:r>
            <w:r>
              <w:rPr>
                <w:noProof/>
                <w:webHidden/>
              </w:rPr>
            </w:r>
            <w:r>
              <w:rPr>
                <w:noProof/>
                <w:webHidden/>
              </w:rPr>
              <w:fldChar w:fldCharType="separate"/>
            </w:r>
            <w:r>
              <w:rPr>
                <w:noProof/>
                <w:webHidden/>
              </w:rPr>
              <w:t>4</w:t>
            </w:r>
            <w:r>
              <w:rPr>
                <w:noProof/>
                <w:webHidden/>
              </w:rPr>
              <w:fldChar w:fldCharType="end"/>
            </w:r>
          </w:hyperlink>
        </w:p>
        <w:p w14:paraId="062BBFF5" w14:textId="12DCA088" w:rsidR="00DF2295" w:rsidRDefault="00DF2295">
          <w:pPr>
            <w:pStyle w:val="TOC2"/>
            <w:tabs>
              <w:tab w:val="right" w:leader="dot" w:pos="8828"/>
            </w:tabs>
            <w:rPr>
              <w:rFonts w:eastAsiaTheme="minorEastAsia"/>
              <w:noProof/>
              <w:lang w:eastAsia="fr-CA"/>
            </w:rPr>
          </w:pPr>
          <w:hyperlink w:anchor="_Toc114438015" w:history="1">
            <w:r w:rsidRPr="001F6CFC">
              <w:rPr>
                <w:rStyle w:val="Hyperlink"/>
                <w:noProof/>
              </w:rPr>
              <w:t>La preuve de travail, méthode historique de consensus</w:t>
            </w:r>
            <w:r>
              <w:rPr>
                <w:noProof/>
                <w:webHidden/>
              </w:rPr>
              <w:tab/>
            </w:r>
            <w:r>
              <w:rPr>
                <w:noProof/>
                <w:webHidden/>
              </w:rPr>
              <w:fldChar w:fldCharType="begin"/>
            </w:r>
            <w:r>
              <w:rPr>
                <w:noProof/>
                <w:webHidden/>
              </w:rPr>
              <w:instrText xml:space="preserve"> PAGEREF _Toc114438015 \h </w:instrText>
            </w:r>
            <w:r>
              <w:rPr>
                <w:noProof/>
                <w:webHidden/>
              </w:rPr>
            </w:r>
            <w:r>
              <w:rPr>
                <w:noProof/>
                <w:webHidden/>
              </w:rPr>
              <w:fldChar w:fldCharType="separate"/>
            </w:r>
            <w:r>
              <w:rPr>
                <w:noProof/>
                <w:webHidden/>
              </w:rPr>
              <w:t>4</w:t>
            </w:r>
            <w:r>
              <w:rPr>
                <w:noProof/>
                <w:webHidden/>
              </w:rPr>
              <w:fldChar w:fldCharType="end"/>
            </w:r>
          </w:hyperlink>
        </w:p>
        <w:p w14:paraId="576FC11E" w14:textId="3215970F" w:rsidR="00DF2295" w:rsidRDefault="00DF2295">
          <w:pPr>
            <w:pStyle w:val="TOC2"/>
            <w:tabs>
              <w:tab w:val="right" w:leader="dot" w:pos="8828"/>
            </w:tabs>
            <w:rPr>
              <w:rFonts w:eastAsiaTheme="minorEastAsia"/>
              <w:noProof/>
              <w:lang w:eastAsia="fr-CA"/>
            </w:rPr>
          </w:pPr>
          <w:hyperlink w:anchor="_Toc114438016" w:history="1">
            <w:r w:rsidRPr="001F6CFC">
              <w:rPr>
                <w:rStyle w:val="Hyperlink"/>
                <w:noProof/>
              </w:rPr>
              <w:t>Gouvernance</w:t>
            </w:r>
            <w:r>
              <w:rPr>
                <w:noProof/>
                <w:webHidden/>
              </w:rPr>
              <w:tab/>
            </w:r>
            <w:r>
              <w:rPr>
                <w:noProof/>
                <w:webHidden/>
              </w:rPr>
              <w:fldChar w:fldCharType="begin"/>
            </w:r>
            <w:r>
              <w:rPr>
                <w:noProof/>
                <w:webHidden/>
              </w:rPr>
              <w:instrText xml:space="preserve"> PAGEREF _Toc114438016 \h </w:instrText>
            </w:r>
            <w:r>
              <w:rPr>
                <w:noProof/>
                <w:webHidden/>
              </w:rPr>
            </w:r>
            <w:r>
              <w:rPr>
                <w:noProof/>
                <w:webHidden/>
              </w:rPr>
              <w:fldChar w:fldCharType="separate"/>
            </w:r>
            <w:r>
              <w:rPr>
                <w:noProof/>
                <w:webHidden/>
              </w:rPr>
              <w:t>5</w:t>
            </w:r>
            <w:r>
              <w:rPr>
                <w:noProof/>
                <w:webHidden/>
              </w:rPr>
              <w:fldChar w:fldCharType="end"/>
            </w:r>
          </w:hyperlink>
        </w:p>
        <w:p w14:paraId="75506EB1" w14:textId="7C82E232" w:rsidR="00DF2295" w:rsidRDefault="00DF2295">
          <w:pPr>
            <w:pStyle w:val="TOC3"/>
            <w:tabs>
              <w:tab w:val="right" w:leader="dot" w:pos="8828"/>
            </w:tabs>
            <w:rPr>
              <w:rFonts w:eastAsiaTheme="minorEastAsia"/>
              <w:noProof/>
              <w:lang w:eastAsia="fr-CA"/>
            </w:rPr>
          </w:pPr>
          <w:hyperlink w:anchor="_Toc114438017" w:history="1">
            <w:r w:rsidRPr="001F6CFC">
              <w:rPr>
                <w:rStyle w:val="Hyperlink"/>
                <w:noProof/>
                <w:lang w:eastAsia="fr-CA"/>
              </w:rPr>
              <w:t>Reference</w:t>
            </w:r>
            <w:r>
              <w:rPr>
                <w:noProof/>
                <w:webHidden/>
              </w:rPr>
              <w:tab/>
            </w:r>
            <w:r>
              <w:rPr>
                <w:noProof/>
                <w:webHidden/>
              </w:rPr>
              <w:fldChar w:fldCharType="begin"/>
            </w:r>
            <w:r>
              <w:rPr>
                <w:noProof/>
                <w:webHidden/>
              </w:rPr>
              <w:instrText xml:space="preserve"> PAGEREF _Toc114438017 \h </w:instrText>
            </w:r>
            <w:r>
              <w:rPr>
                <w:noProof/>
                <w:webHidden/>
              </w:rPr>
            </w:r>
            <w:r>
              <w:rPr>
                <w:noProof/>
                <w:webHidden/>
              </w:rPr>
              <w:fldChar w:fldCharType="separate"/>
            </w:r>
            <w:r>
              <w:rPr>
                <w:noProof/>
                <w:webHidden/>
              </w:rPr>
              <w:t>6</w:t>
            </w:r>
            <w:r>
              <w:rPr>
                <w:noProof/>
                <w:webHidden/>
              </w:rPr>
              <w:fldChar w:fldCharType="end"/>
            </w:r>
          </w:hyperlink>
        </w:p>
        <w:p w14:paraId="4BCC1500" w14:textId="29B3717E" w:rsidR="000A504D" w:rsidRDefault="000A504D">
          <w:r>
            <w:rPr>
              <w:b/>
              <w:bCs/>
              <w:lang w:val="fr-FR"/>
            </w:rPr>
            <w:fldChar w:fldCharType="end"/>
          </w:r>
        </w:p>
      </w:sdtContent>
    </w:sdt>
    <w:p w14:paraId="4B86ED4C" w14:textId="3C076105" w:rsidR="000A504D" w:rsidRDefault="000A504D">
      <w:r>
        <w:br w:type="page"/>
      </w:r>
    </w:p>
    <w:p w14:paraId="79EE13A3" w14:textId="6C5855C1" w:rsidR="008F0AA7" w:rsidRPr="00EE37FB" w:rsidRDefault="003453CD" w:rsidP="008F0AA7">
      <w:pPr>
        <w:pStyle w:val="Heading1"/>
        <w:rPr>
          <w:lang w:val="fr-CA"/>
        </w:rPr>
      </w:pPr>
      <w:bookmarkStart w:id="0" w:name="_Toc114438011"/>
      <w:r>
        <w:rPr>
          <w:lang w:val="fr-CA"/>
        </w:rPr>
        <w:lastRenderedPageBreak/>
        <w:t>Aspects</w:t>
      </w:r>
      <w:bookmarkEnd w:id="0"/>
      <w:r>
        <w:rPr>
          <w:lang w:val="fr-CA"/>
        </w:rPr>
        <w:t xml:space="preserve"> </w:t>
      </w:r>
    </w:p>
    <w:p w14:paraId="6C1DDBE1" w14:textId="7B4FB3A8" w:rsidR="00EE37FB" w:rsidRPr="003453CD" w:rsidRDefault="003453CD" w:rsidP="00EE37FB">
      <w:pPr>
        <w:pStyle w:val="Heading2"/>
      </w:pPr>
      <w:bookmarkStart w:id="1" w:name="_Toc114438012"/>
      <w:r w:rsidRPr="003453CD">
        <w:t>Aspects Historique</w:t>
      </w:r>
      <w:bookmarkEnd w:id="1"/>
    </w:p>
    <w:p w14:paraId="4D85C305" w14:textId="0536D7B5" w:rsidR="003453CD" w:rsidRPr="003453CD" w:rsidRDefault="003453CD" w:rsidP="003453CD">
      <w:pPr>
        <w:pStyle w:val="NormalWeb"/>
        <w:shd w:val="clear" w:color="auto" w:fill="FFFFFF"/>
        <w:spacing w:before="120" w:beforeAutospacing="0" w:after="120" w:afterAutospacing="0"/>
        <w:rPr>
          <w:rFonts w:ascii="Arial" w:hAnsi="Arial" w:cs="Arial"/>
          <w:sz w:val="21"/>
          <w:szCs w:val="21"/>
        </w:rPr>
      </w:pPr>
      <w:r w:rsidRPr="0011337D">
        <w:rPr>
          <w:rFonts w:ascii="Arial" w:hAnsi="Arial" w:cs="Arial"/>
        </w:rPr>
        <w:t>D</w:t>
      </w:r>
      <w:r w:rsidRPr="0011337D">
        <w:rPr>
          <w:rFonts w:ascii="Arial" w:hAnsi="Arial" w:cs="Arial"/>
          <w:sz w:val="26"/>
          <w:szCs w:val="26"/>
        </w:rPr>
        <w:t>e</w:t>
      </w:r>
      <w:r w:rsidRPr="0011337D">
        <w:rPr>
          <w:rFonts w:ascii="Arial" w:hAnsi="Arial" w:cs="Arial"/>
          <w:sz w:val="28"/>
          <w:szCs w:val="28"/>
        </w:rPr>
        <w:t>p</w:t>
      </w:r>
      <w:r w:rsidRPr="0011337D">
        <w:rPr>
          <w:rFonts w:ascii="Arial" w:hAnsi="Arial" w:cs="Arial"/>
          <w:sz w:val="30"/>
          <w:szCs w:val="30"/>
        </w:rPr>
        <w:t>u</w:t>
      </w:r>
      <w:r w:rsidR="0011337D" w:rsidRPr="0011337D">
        <w:rPr>
          <w:rFonts w:ascii="Arial" w:hAnsi="Arial" w:cs="Arial"/>
          <w:sz w:val="32"/>
          <w:szCs w:val="32"/>
        </w:rPr>
        <w:t>i</w:t>
      </w:r>
      <w:r w:rsidRPr="0011337D">
        <w:rPr>
          <w:rFonts w:ascii="Arial" w:hAnsi="Arial" w:cs="Arial"/>
          <w:sz w:val="34"/>
          <w:szCs w:val="34"/>
        </w:rPr>
        <w:t>s</w:t>
      </w:r>
      <w:r w:rsidRPr="0011337D">
        <w:rPr>
          <w:rFonts w:ascii="Arial" w:hAnsi="Arial" w:cs="Arial"/>
        </w:rPr>
        <w:t xml:space="preserve"> </w:t>
      </w:r>
      <w:r w:rsidRPr="003453CD">
        <w:rPr>
          <w:rFonts w:ascii="Arial" w:hAnsi="Arial" w:cs="Arial"/>
          <w:sz w:val="21"/>
          <w:szCs w:val="21"/>
        </w:rPr>
        <w:t xml:space="preserve">lors, </w:t>
      </w:r>
      <w:r w:rsidRPr="005F607C">
        <w:rPr>
          <w:rFonts w:ascii="Arial" w:hAnsi="Arial" w:cs="Arial"/>
          <w:color w:val="FF0000"/>
          <w:sz w:val="21"/>
          <w:szCs w:val="21"/>
        </w:rPr>
        <w:t>b</w:t>
      </w:r>
      <w:r w:rsidRPr="003453CD">
        <w:rPr>
          <w:rFonts w:ascii="Arial" w:hAnsi="Arial" w:cs="Arial"/>
          <w:sz w:val="21"/>
          <w:szCs w:val="21"/>
        </w:rPr>
        <w:t>e</w:t>
      </w:r>
      <w:r w:rsidRPr="005F607C">
        <w:rPr>
          <w:rFonts w:ascii="Arial" w:hAnsi="Arial" w:cs="Arial"/>
          <w:color w:val="FF0000"/>
          <w:sz w:val="21"/>
          <w:szCs w:val="21"/>
        </w:rPr>
        <w:t>a</w:t>
      </w:r>
      <w:r w:rsidRPr="003453CD">
        <w:rPr>
          <w:rFonts w:ascii="Arial" w:hAnsi="Arial" w:cs="Arial"/>
          <w:sz w:val="21"/>
          <w:szCs w:val="21"/>
        </w:rPr>
        <w:t>u</w:t>
      </w:r>
      <w:r w:rsidRPr="005F607C">
        <w:rPr>
          <w:rFonts w:ascii="Arial" w:hAnsi="Arial" w:cs="Arial"/>
          <w:color w:val="FF0000"/>
          <w:sz w:val="21"/>
          <w:szCs w:val="21"/>
        </w:rPr>
        <w:t>c</w:t>
      </w:r>
      <w:r w:rsidRPr="003453CD">
        <w:rPr>
          <w:rFonts w:ascii="Arial" w:hAnsi="Arial" w:cs="Arial"/>
          <w:sz w:val="21"/>
          <w:szCs w:val="21"/>
        </w:rPr>
        <w:t>o</w:t>
      </w:r>
      <w:r w:rsidRPr="005F607C">
        <w:rPr>
          <w:rFonts w:ascii="Arial" w:hAnsi="Arial" w:cs="Arial"/>
          <w:color w:val="FF0000"/>
          <w:sz w:val="21"/>
          <w:szCs w:val="21"/>
        </w:rPr>
        <w:t>u</w:t>
      </w:r>
      <w:r w:rsidRPr="003453CD">
        <w:rPr>
          <w:rFonts w:ascii="Arial" w:hAnsi="Arial" w:cs="Arial"/>
          <w:sz w:val="21"/>
          <w:szCs w:val="21"/>
        </w:rPr>
        <w:t>p de </w:t>
      </w:r>
      <w:hyperlink r:id="rId12" w:tooltip="Monnaie virtuelle" w:history="1">
        <w:r w:rsidRPr="003453CD">
          <w:rPr>
            <w:rStyle w:val="Hyperlink"/>
            <w:rFonts w:ascii="Arial" w:hAnsi="Arial" w:cs="Arial"/>
            <w:color w:val="auto"/>
            <w:sz w:val="21"/>
            <w:szCs w:val="21"/>
            <w:u w:val="none"/>
          </w:rPr>
          <w:t>monnaies virtuelles</w:t>
        </w:r>
      </w:hyperlink>
      <w:r w:rsidRPr="003453CD">
        <w:rPr>
          <w:rFonts w:ascii="Arial" w:hAnsi="Arial" w:cs="Arial"/>
          <w:sz w:val="21"/>
          <w:szCs w:val="21"/>
        </w:rPr>
        <w:t> et de </w:t>
      </w:r>
      <w:hyperlink r:id="rId13" w:tooltip="Cryptomonnaie" w:history="1">
        <w:r w:rsidRPr="003453CD">
          <w:rPr>
            <w:rStyle w:val="Hyperlink"/>
            <w:rFonts w:ascii="Arial" w:hAnsi="Arial" w:cs="Arial"/>
            <w:color w:val="auto"/>
            <w:sz w:val="21"/>
            <w:szCs w:val="21"/>
            <w:u w:val="none"/>
          </w:rPr>
          <w:t>cryptomonnaies</w:t>
        </w:r>
      </w:hyperlink>
      <w:r w:rsidRPr="003453CD">
        <w:rPr>
          <w:rFonts w:ascii="Arial" w:hAnsi="Arial" w:cs="Arial"/>
          <w:sz w:val="21"/>
          <w:szCs w:val="21"/>
        </w:rPr>
        <w:t> utilisent les chaînes de blocs pour leur sécurité. Les transactions sur une chaîne de blocs sont pratiquement impossibles à annuler parce que les chaînes de blocs sont résistantes aux changements</w:t>
      </w:r>
      <w:hyperlink r:id="rId14" w:anchor="cite_note-14" w:history="1">
        <w:r w:rsidRPr="003453CD">
          <w:rPr>
            <w:rStyle w:val="Hyperlink"/>
            <w:rFonts w:ascii="Arial" w:hAnsi="Arial" w:cs="Arial"/>
            <w:color w:val="auto"/>
            <w:sz w:val="17"/>
            <w:szCs w:val="17"/>
            <w:u w:val="none"/>
            <w:vertAlign w:val="superscript"/>
          </w:rPr>
          <w:t>14</w:t>
        </w:r>
      </w:hyperlink>
      <w:r w:rsidRPr="003453CD">
        <w:rPr>
          <w:rFonts w:ascii="Arial" w:hAnsi="Arial" w:cs="Arial"/>
          <w:sz w:val="21"/>
          <w:szCs w:val="21"/>
        </w:rPr>
        <w:t>.</w:t>
      </w:r>
    </w:p>
    <w:p w14:paraId="1F9771DB" w14:textId="1C67FB9A" w:rsidR="003453CD" w:rsidRPr="003453CD" w:rsidRDefault="003453CD" w:rsidP="005F607C">
      <w:pPr>
        <w:pStyle w:val="NormalWeb"/>
        <w:shd w:val="clear" w:color="auto" w:fill="FFFFFF"/>
        <w:spacing w:before="120" w:beforeAutospacing="0" w:after="120" w:afterAutospacing="0" w:line="480" w:lineRule="auto"/>
        <w:ind w:left="1134"/>
        <w:jc w:val="right"/>
        <w:rPr>
          <w:rFonts w:ascii="Arial" w:hAnsi="Arial" w:cs="Arial"/>
          <w:sz w:val="21"/>
          <w:szCs w:val="21"/>
        </w:rPr>
      </w:pPr>
      <w:r w:rsidRPr="005F607C">
        <w:rPr>
          <w:rFonts w:ascii="Arial" w:hAnsi="Arial" w:cs="Arial"/>
          <w:sz w:val="21"/>
          <w:szCs w:val="21"/>
          <w:highlight w:val="cyan"/>
        </w:rPr>
        <w:t xml:space="preserve">Après 2008, la </w:t>
      </w:r>
      <w:r w:rsidRPr="005F607C">
        <w:rPr>
          <w:rFonts w:ascii="Arial" w:hAnsi="Arial" w:cs="Arial"/>
          <w:b/>
          <w:bCs/>
          <w:sz w:val="21"/>
          <w:szCs w:val="21"/>
          <w:highlight w:val="cyan"/>
        </w:rPr>
        <w:t>b</w:t>
      </w:r>
      <w:r w:rsidRPr="005F607C">
        <w:rPr>
          <w:rFonts w:ascii="Arial" w:hAnsi="Arial" w:cs="Arial"/>
          <w:sz w:val="21"/>
          <w:szCs w:val="21"/>
          <w:highlight w:val="cyan"/>
          <w:u w:val="single"/>
        </w:rPr>
        <w:t>l</w:t>
      </w:r>
      <w:r w:rsidRPr="005F607C">
        <w:rPr>
          <w:rFonts w:ascii="Arial" w:hAnsi="Arial" w:cs="Arial"/>
          <w:b/>
          <w:bCs/>
          <w:sz w:val="21"/>
          <w:szCs w:val="21"/>
          <w:highlight w:val="cyan"/>
        </w:rPr>
        <w:t>o</w:t>
      </w:r>
      <w:r w:rsidRPr="005F607C">
        <w:rPr>
          <w:rFonts w:ascii="Arial" w:hAnsi="Arial" w:cs="Arial"/>
          <w:i/>
          <w:iCs/>
          <w:sz w:val="21"/>
          <w:szCs w:val="21"/>
          <w:highlight w:val="cyan"/>
        </w:rPr>
        <w:t>c</w:t>
      </w:r>
      <w:r w:rsidRPr="005F607C">
        <w:rPr>
          <w:rFonts w:ascii="Arial" w:hAnsi="Arial" w:cs="Arial"/>
          <w:b/>
          <w:bCs/>
          <w:i/>
          <w:iCs/>
          <w:sz w:val="21"/>
          <w:szCs w:val="21"/>
          <w:highlight w:val="cyan"/>
        </w:rPr>
        <w:t>k</w:t>
      </w:r>
      <w:r w:rsidRPr="005F607C">
        <w:rPr>
          <w:rFonts w:ascii="Arial" w:hAnsi="Arial" w:cs="Arial"/>
          <w:i/>
          <w:iCs/>
          <w:sz w:val="21"/>
          <w:szCs w:val="21"/>
          <w:highlight w:val="cyan"/>
          <w:u w:val="single"/>
        </w:rPr>
        <w:t>c</w:t>
      </w:r>
      <w:r w:rsidRPr="005F607C">
        <w:rPr>
          <w:rFonts w:ascii="Arial" w:hAnsi="Arial" w:cs="Arial"/>
          <w:sz w:val="21"/>
          <w:szCs w:val="21"/>
          <w:highlight w:val="cyan"/>
        </w:rPr>
        <w:t>h</w:t>
      </w:r>
      <w:r w:rsidRPr="005F607C">
        <w:rPr>
          <w:rFonts w:ascii="Arial" w:hAnsi="Arial" w:cs="Arial"/>
          <w:i/>
          <w:iCs/>
          <w:sz w:val="21"/>
          <w:szCs w:val="21"/>
          <w:highlight w:val="cyan"/>
        </w:rPr>
        <w:t>a</w:t>
      </w:r>
      <w:r w:rsidRPr="005F607C">
        <w:rPr>
          <w:rFonts w:ascii="Arial" w:hAnsi="Arial" w:cs="Arial"/>
          <w:sz w:val="21"/>
          <w:szCs w:val="21"/>
          <w:highlight w:val="cyan"/>
        </w:rPr>
        <w:t>i</w:t>
      </w:r>
      <w:r w:rsidRPr="005F607C">
        <w:rPr>
          <w:rFonts w:ascii="Arial" w:hAnsi="Arial" w:cs="Arial"/>
          <w:i/>
          <w:iCs/>
          <w:sz w:val="21"/>
          <w:szCs w:val="21"/>
          <w:highlight w:val="cyan"/>
        </w:rPr>
        <w:t>n</w:t>
      </w:r>
      <w:r w:rsidRPr="005F607C">
        <w:rPr>
          <w:rFonts w:ascii="Arial" w:hAnsi="Arial" w:cs="Arial"/>
          <w:sz w:val="21"/>
          <w:szCs w:val="21"/>
          <w:highlight w:val="cyan"/>
        </w:rPr>
        <w:t xml:space="preserve"> et les cryptomonnaies qui en dépendent ont souvent été présentées</w:t>
      </w:r>
      <w:r w:rsidRPr="003453CD">
        <w:rPr>
          <w:rFonts w:ascii="Arial" w:hAnsi="Arial" w:cs="Arial"/>
          <w:sz w:val="21"/>
          <w:szCs w:val="21"/>
        </w:rPr>
        <w:t xml:space="preserve"> </w:t>
      </w:r>
      <w:r w:rsidRPr="005F607C">
        <w:rPr>
          <w:rFonts w:ascii="Arial" w:hAnsi="Arial" w:cs="Arial"/>
          <w:sz w:val="21"/>
          <w:szCs w:val="21"/>
          <w:highlight w:val="cyan"/>
        </w:rPr>
        <w:t>comme une source presque miraculeuse d'enrichissement, suscitant l'intérêt de la bourse alors plongée dans le marasme de la </w:t>
      </w:r>
      <w:hyperlink r:id="rId15" w:tooltip="Crise bancaire et financière de l'automne 2008" w:history="1">
        <w:r w:rsidRPr="005F607C">
          <w:rPr>
            <w:rStyle w:val="Hyperlink"/>
            <w:rFonts w:ascii="Arial" w:hAnsi="Arial" w:cs="Arial"/>
            <w:color w:val="auto"/>
            <w:sz w:val="21"/>
            <w:szCs w:val="21"/>
            <w:highlight w:val="cyan"/>
            <w:u w:val="none"/>
          </w:rPr>
          <w:t>crise de 2008</w:t>
        </w:r>
      </w:hyperlink>
      <w:r w:rsidRPr="005F607C">
        <w:rPr>
          <w:rFonts w:ascii="Arial" w:hAnsi="Arial" w:cs="Arial"/>
          <w:sz w:val="21"/>
          <w:szCs w:val="21"/>
          <w:highlight w:val="cyan"/>
        </w:rPr>
        <w:t>.</w:t>
      </w:r>
      <w:r w:rsidRPr="003453CD">
        <w:rPr>
          <w:rFonts w:ascii="Arial" w:hAnsi="Arial" w:cs="Arial"/>
          <w:sz w:val="21"/>
          <w:szCs w:val="21"/>
        </w:rPr>
        <w:t xml:space="preserve"> De nombreuses entreprises se sont alors rebaptisées en intégrant le mot « blockchain » ou « bitcoin » dans leur nouveau nom (procédure illégale dans certains pays, dont les États-Unis car pouvant s'apparenter à de la </w:t>
      </w:r>
      <w:hyperlink r:id="rId16" w:tooltip="Désinformation" w:history="1">
        <w:r w:rsidRPr="003453CD">
          <w:rPr>
            <w:rStyle w:val="Hyperlink"/>
            <w:rFonts w:ascii="Arial" w:hAnsi="Arial" w:cs="Arial"/>
            <w:color w:val="auto"/>
            <w:sz w:val="21"/>
            <w:szCs w:val="21"/>
            <w:u w:val="none"/>
          </w:rPr>
          <w:t>désinformation</w:t>
        </w:r>
      </w:hyperlink>
      <w:r w:rsidRPr="003453CD">
        <w:rPr>
          <w:rFonts w:ascii="Arial" w:hAnsi="Arial" w:cs="Arial"/>
          <w:sz w:val="21"/>
          <w:szCs w:val="21"/>
        </w:rPr>
        <w:t> et à de la </w:t>
      </w:r>
      <w:hyperlink r:id="rId17" w:tooltip="Publicité mensongère" w:history="1">
        <w:r w:rsidRPr="003453CD">
          <w:rPr>
            <w:rStyle w:val="Hyperlink"/>
            <w:rFonts w:ascii="Arial" w:hAnsi="Arial" w:cs="Arial"/>
            <w:color w:val="auto"/>
            <w:sz w:val="21"/>
            <w:szCs w:val="21"/>
            <w:u w:val="none"/>
          </w:rPr>
          <w:t>publicité mensongère</w:t>
        </w:r>
      </w:hyperlink>
      <w:r w:rsidRPr="003453CD">
        <w:rPr>
          <w:rFonts w:ascii="Arial" w:hAnsi="Arial" w:cs="Arial"/>
          <w:sz w:val="21"/>
          <w:szCs w:val="21"/>
        </w:rPr>
        <w:t>). Une étude, publiée dans </w:t>
      </w:r>
      <w:proofErr w:type="spellStart"/>
      <w:r w:rsidRPr="003453CD">
        <w:rPr>
          <w:rFonts w:ascii="Arial" w:hAnsi="Arial" w:cs="Arial"/>
          <w:sz w:val="21"/>
          <w:szCs w:val="21"/>
        </w:rPr>
        <w:fldChar w:fldCharType="begin"/>
      </w:r>
      <w:r w:rsidRPr="003453CD">
        <w:rPr>
          <w:rFonts w:ascii="Arial" w:hAnsi="Arial" w:cs="Arial"/>
          <w:sz w:val="21"/>
          <w:szCs w:val="21"/>
        </w:rPr>
        <w:instrText xml:space="preserve"> HYPERLINK "https://fr.wikipedia.org/wiki/Economics_Letters" \o "Economics Letters" </w:instrText>
      </w:r>
      <w:r w:rsidRPr="003453CD">
        <w:rPr>
          <w:rFonts w:ascii="Arial" w:hAnsi="Arial" w:cs="Arial"/>
          <w:sz w:val="21"/>
          <w:szCs w:val="21"/>
        </w:rPr>
        <w:fldChar w:fldCharType="separate"/>
      </w:r>
      <w:r w:rsidRPr="003453CD">
        <w:rPr>
          <w:rStyle w:val="Hyperlink"/>
          <w:rFonts w:ascii="Arial" w:hAnsi="Arial" w:cs="Arial"/>
          <w:i/>
          <w:iCs/>
          <w:color w:val="auto"/>
          <w:sz w:val="21"/>
          <w:szCs w:val="21"/>
          <w:u w:val="none"/>
        </w:rPr>
        <w:t>Economics</w:t>
      </w:r>
      <w:proofErr w:type="spellEnd"/>
      <w:r>
        <w:rPr>
          <w:rStyle w:val="Hyperlink"/>
          <w:rFonts w:ascii="Arial" w:hAnsi="Arial" w:cs="Arial"/>
          <w:color w:val="auto"/>
          <w:sz w:val="21"/>
          <w:szCs w:val="21"/>
          <w:u w:val="none"/>
        </w:rPr>
        <w:t xml:space="preserve"> </w:t>
      </w:r>
      <w:r w:rsidRPr="003453CD">
        <w:rPr>
          <w:rStyle w:val="Hyperlink"/>
          <w:rFonts w:ascii="Arial" w:hAnsi="Arial" w:cs="Arial"/>
          <w:color w:val="auto"/>
          <w:sz w:val="21"/>
          <w:szCs w:val="21"/>
          <w:u w:val="none"/>
        </w:rPr>
        <w:t>Lettres</w:t>
      </w:r>
      <w:r w:rsidRPr="003453CD">
        <w:rPr>
          <w:rFonts w:ascii="Arial" w:hAnsi="Arial" w:cs="Arial"/>
          <w:sz w:val="21"/>
          <w:szCs w:val="21"/>
        </w:rPr>
        <w:fldChar w:fldCharType="end"/>
      </w:r>
      <w:r w:rsidRPr="003453CD">
        <w:rPr>
          <w:rFonts w:ascii="Arial" w:hAnsi="Arial" w:cs="Arial"/>
          <w:sz w:val="21"/>
          <w:szCs w:val="21"/>
        </w:rPr>
        <w:t> en août 2019, a montré que ces entreprises y gagnent significativement en notoriété ou valeur durant deux mois, mais que cet effet s'estompe et s'inverse ensuite en effet négatif (dans les cinq mois après le changement)</w:t>
      </w:r>
      <w:hyperlink r:id="rId18" w:anchor="cite_note-NomHyst2019-15" w:history="1">
        <w:r w:rsidRPr="003453CD">
          <w:rPr>
            <w:rStyle w:val="Hyperlink"/>
            <w:rFonts w:ascii="Arial" w:hAnsi="Arial" w:cs="Arial"/>
            <w:color w:val="auto"/>
            <w:sz w:val="17"/>
            <w:szCs w:val="17"/>
            <w:u w:val="none"/>
            <w:vertAlign w:val="superscript"/>
          </w:rPr>
          <w:t>15</w:t>
        </w:r>
      </w:hyperlink>
      <w:r w:rsidRPr="003453CD">
        <w:rPr>
          <w:rFonts w:ascii="Arial" w:hAnsi="Arial" w:cs="Arial"/>
          <w:sz w:val="21"/>
          <w:szCs w:val="21"/>
        </w:rPr>
        <w:t>. Les auteurs invitent les investisseurs à être prudents à l'égard d'entreprises changeant de nom avant d'investir réellement dans la blockchain, ces changements de nom, de façade, étant généralement uniquement destinés à profiter de </w:t>
      </w:r>
      <w:r w:rsidRPr="003453CD">
        <w:rPr>
          <w:rStyle w:val="citation"/>
          <w:rFonts w:ascii="Arial" w:hAnsi="Arial" w:cs="Arial"/>
          <w:sz w:val="21"/>
          <w:szCs w:val="21"/>
        </w:rPr>
        <w:t>« l'hystérie entourant la hausse des prix du bitcoin »</w:t>
      </w:r>
      <w:r w:rsidRPr="003453CD">
        <w:rPr>
          <w:rFonts w:ascii="Arial" w:hAnsi="Arial" w:cs="Arial"/>
          <w:sz w:val="21"/>
          <w:szCs w:val="21"/>
        </w:rPr>
        <w:t>.</w:t>
      </w:r>
    </w:p>
    <w:p w14:paraId="0FF7ACA3" w14:textId="793A4283" w:rsidR="003453CD" w:rsidRDefault="003453CD" w:rsidP="005F607C">
      <w:pPr>
        <w:pStyle w:val="NormalWeb"/>
        <w:shd w:val="clear" w:color="auto" w:fill="FFFFFF"/>
        <w:spacing w:before="120" w:beforeAutospacing="0" w:after="120" w:afterAutospacing="0"/>
        <w:ind w:left="2268" w:right="2268"/>
        <w:rPr>
          <w:rFonts w:ascii="Arial" w:hAnsi="Arial" w:cs="Arial"/>
          <w:sz w:val="21"/>
          <w:szCs w:val="21"/>
        </w:rPr>
      </w:pPr>
      <w:r w:rsidRPr="003453CD">
        <w:rPr>
          <w:rFonts w:ascii="Arial" w:hAnsi="Arial" w:cs="Arial"/>
          <w:sz w:val="21"/>
          <w:szCs w:val="21"/>
        </w:rPr>
        <w:t>Aux</w:t>
      </w:r>
      <w:r w:rsidRPr="003453CD">
        <w:rPr>
          <w:rFonts w:ascii="Arial" w:hAnsi="Arial" w:cs="Arial"/>
          <w:sz w:val="21"/>
          <w:szCs w:val="21"/>
        </w:rPr>
        <w:t> </w:t>
      </w:r>
      <w:hyperlink r:id="rId19" w:tooltip="États-Unis" w:history="1">
        <w:r w:rsidRPr="003453CD">
          <w:rPr>
            <w:rStyle w:val="Hyperlink"/>
            <w:rFonts w:ascii="Arial" w:hAnsi="Arial" w:cs="Arial"/>
            <w:color w:val="auto"/>
            <w:sz w:val="21"/>
            <w:szCs w:val="21"/>
            <w:u w:val="none"/>
          </w:rPr>
          <w:t>États-Unis</w:t>
        </w:r>
      </w:hyperlink>
      <w:r w:rsidRPr="003453CD">
        <w:rPr>
          <w:rFonts w:ascii="Arial" w:hAnsi="Arial" w:cs="Arial"/>
          <w:sz w:val="21"/>
          <w:szCs w:val="21"/>
        </w:rPr>
        <w:t>, de nombreuses sociétés ont été citées à comparaître devant la </w:t>
      </w:r>
      <w:hyperlink r:id="rId20" w:tooltip="Securities and Exchange Commission" w:history="1">
        <w:r w:rsidRPr="003453CD">
          <w:rPr>
            <w:rStyle w:val="Hyperlink"/>
            <w:rFonts w:ascii="Arial" w:hAnsi="Arial" w:cs="Arial"/>
            <w:color w:val="auto"/>
            <w:sz w:val="21"/>
            <w:szCs w:val="21"/>
            <w:u w:val="none"/>
          </w:rPr>
          <w:t>Securities and Exchange Commission</w:t>
        </w:r>
      </w:hyperlink>
      <w:r w:rsidRPr="003453CD">
        <w:rPr>
          <w:rFonts w:ascii="Arial" w:hAnsi="Arial" w:cs="Arial"/>
          <w:sz w:val="21"/>
          <w:szCs w:val="21"/>
        </w:rPr>
        <w:t> (SEC) pour avoir inclus le terme </w:t>
      </w:r>
      <w:r w:rsidRPr="003453CD">
        <w:rPr>
          <w:rStyle w:val="citation"/>
          <w:rFonts w:ascii="Arial" w:hAnsi="Arial" w:cs="Arial"/>
          <w:sz w:val="21"/>
          <w:szCs w:val="21"/>
        </w:rPr>
        <w:t>« blockchain »</w:t>
      </w:r>
      <w:r w:rsidRPr="003453CD">
        <w:rPr>
          <w:rFonts w:ascii="Arial" w:hAnsi="Arial" w:cs="Arial"/>
          <w:sz w:val="21"/>
          <w:szCs w:val="21"/>
        </w:rPr>
        <w:t> dans leur nom en l'absence d'un lien clair avec le domaine. Ainsi de </w:t>
      </w:r>
      <w:proofErr w:type="spellStart"/>
      <w:r w:rsidRPr="00866887">
        <w:rPr>
          <w:rStyle w:val="lang-en"/>
          <w:rFonts w:ascii="Arial" w:hAnsi="Arial" w:cs="Arial"/>
          <w:i/>
          <w:iCs/>
          <w:sz w:val="21"/>
          <w:szCs w:val="21"/>
        </w:rPr>
        <w:t>Riot</w:t>
      </w:r>
      <w:proofErr w:type="spellEnd"/>
      <w:r w:rsidRPr="00866887">
        <w:rPr>
          <w:rStyle w:val="lang-en"/>
          <w:rFonts w:ascii="Arial" w:hAnsi="Arial" w:cs="Arial"/>
          <w:i/>
          <w:iCs/>
          <w:sz w:val="21"/>
          <w:szCs w:val="21"/>
        </w:rPr>
        <w:t xml:space="preserve"> Blockchain</w:t>
      </w:r>
      <w:r w:rsidRPr="003453CD">
        <w:rPr>
          <w:rFonts w:ascii="Arial" w:hAnsi="Arial" w:cs="Arial"/>
          <w:sz w:val="21"/>
          <w:szCs w:val="21"/>
        </w:rPr>
        <w:t>, qui est passée du domaine vétérinaire au </w:t>
      </w:r>
      <w:hyperlink r:id="rId21" w:tooltip="Minage de cryptomonnaie" w:history="1">
        <w:r w:rsidRPr="003453CD">
          <w:rPr>
            <w:rStyle w:val="Hyperlink"/>
            <w:rFonts w:ascii="Arial" w:hAnsi="Arial" w:cs="Arial"/>
            <w:color w:val="auto"/>
            <w:sz w:val="21"/>
            <w:szCs w:val="21"/>
            <w:u w:val="none"/>
          </w:rPr>
          <w:t>minage</w:t>
        </w:r>
      </w:hyperlink>
      <w:r w:rsidRPr="003453CD">
        <w:rPr>
          <w:rFonts w:ascii="Arial" w:hAnsi="Arial" w:cs="Arial"/>
          <w:sz w:val="21"/>
          <w:szCs w:val="21"/>
        </w:rPr>
        <w:t> de Bitcoin.</w:t>
      </w:r>
      <w:r>
        <w:rPr>
          <w:rStyle w:val="EndnoteReference"/>
          <w:rFonts w:ascii="Arial" w:hAnsi="Arial" w:cs="Arial"/>
          <w:sz w:val="21"/>
          <w:szCs w:val="21"/>
        </w:rPr>
        <w:endnoteReference w:id="2"/>
      </w:r>
    </w:p>
    <w:p w14:paraId="4B16A695" w14:textId="7E83E29B" w:rsidR="003453CD" w:rsidRDefault="003453CD" w:rsidP="003453CD">
      <w:pPr>
        <w:pStyle w:val="Heading2"/>
      </w:pPr>
      <w:bookmarkStart w:id="2" w:name="_Toc114438013"/>
      <w:r>
        <w:lastRenderedPageBreak/>
        <w:t>Fiabilité</w:t>
      </w:r>
      <w:bookmarkEnd w:id="2"/>
    </w:p>
    <w:p w14:paraId="2058272B" w14:textId="1F25DDEB" w:rsidR="003453CD" w:rsidRPr="003453CD" w:rsidRDefault="003453CD" w:rsidP="003453CD">
      <w:pPr>
        <w:pStyle w:val="NormalWeb"/>
        <w:shd w:val="clear" w:color="auto" w:fill="FFFFFF"/>
        <w:spacing w:before="120" w:beforeAutospacing="0" w:after="120" w:afterAutospacing="0"/>
        <w:rPr>
          <w:rFonts w:ascii="Arial" w:hAnsi="Arial" w:cs="Arial"/>
          <w:sz w:val="21"/>
          <w:szCs w:val="21"/>
        </w:rPr>
      </w:pPr>
      <w:r w:rsidRPr="003453CD">
        <w:rPr>
          <w:rFonts w:ascii="Arial" w:hAnsi="Arial" w:cs="Arial"/>
          <w:sz w:val="21"/>
          <w:szCs w:val="21"/>
        </w:rPr>
        <w:t>Comme les crypto-monnaies dont elle constitue l'armature, la blockchain est presque toujours présentée dans les médias comme immuable, impossible à pirater et anti-fraude.</w:t>
      </w:r>
    </w:p>
    <w:p w14:paraId="70E36154" w14:textId="3307B729" w:rsidR="003453CD" w:rsidRPr="003453CD" w:rsidRDefault="003453CD" w:rsidP="005F607C">
      <w:pPr>
        <w:pStyle w:val="NormalWeb"/>
        <w:shd w:val="clear" w:color="auto" w:fill="FFFFFF"/>
        <w:spacing w:before="120" w:beforeAutospacing="0" w:after="120" w:afterAutospacing="0"/>
        <w:ind w:left="2835"/>
        <w:jc w:val="right"/>
        <w:rPr>
          <w:rFonts w:ascii="Arial" w:hAnsi="Arial" w:cs="Arial"/>
          <w:sz w:val="21"/>
          <w:szCs w:val="21"/>
        </w:rPr>
      </w:pPr>
      <w:r w:rsidRPr="003453CD">
        <w:rPr>
          <w:rFonts w:ascii="Arial" w:hAnsi="Arial" w:cs="Arial"/>
          <w:sz w:val="21"/>
          <w:szCs w:val="21"/>
        </w:rPr>
        <w:t>Alors que dans les années 2020 certains suggèrent de remplacer tout ou partie des </w:t>
      </w:r>
      <w:hyperlink r:id="rId22" w:tooltip="Audit financier" w:history="1">
        <w:r w:rsidRPr="003453CD">
          <w:rPr>
            <w:rStyle w:val="Hyperlink"/>
            <w:rFonts w:ascii="Arial" w:hAnsi="Arial" w:cs="Arial"/>
            <w:color w:val="auto"/>
            <w:sz w:val="21"/>
            <w:szCs w:val="21"/>
            <w:u w:val="none"/>
          </w:rPr>
          <w:t>audits financiers</w:t>
        </w:r>
      </w:hyperlink>
      <w:r w:rsidRPr="003453CD">
        <w:rPr>
          <w:rFonts w:ascii="Arial" w:hAnsi="Arial" w:cs="Arial"/>
          <w:sz w:val="21"/>
          <w:szCs w:val="21"/>
        </w:rPr>
        <w:t> (ou d'autres types d'audits) par des blockchains, une étude (2020) a voulu vérifier si dans les faits, le degré de sécurité des crypto-monnaies et des registres de blockchain est aussi élevé qu'on le dit généralement.</w:t>
      </w:r>
    </w:p>
    <w:p w14:paraId="5E19DA03" w14:textId="4BA82BBA" w:rsidR="003453CD" w:rsidRPr="003453CD" w:rsidRDefault="003453CD" w:rsidP="003453CD">
      <w:pPr>
        <w:pStyle w:val="NormalWeb"/>
        <w:shd w:val="clear" w:color="auto" w:fill="FFFFFF"/>
        <w:spacing w:before="120" w:beforeAutospacing="0" w:after="120" w:afterAutospacing="0"/>
        <w:rPr>
          <w:rFonts w:ascii="Arial" w:hAnsi="Arial" w:cs="Arial"/>
          <w:sz w:val="21"/>
          <w:szCs w:val="21"/>
        </w:rPr>
      </w:pPr>
      <w:r w:rsidRPr="003453CD">
        <w:rPr>
          <w:rFonts w:ascii="Arial" w:hAnsi="Arial" w:cs="Arial"/>
          <w:sz w:val="21"/>
          <w:szCs w:val="21"/>
        </w:rPr>
        <w:t>Les auteurs, Castonguay et Stein Smith, ont compilé et étudié la littérature existante sur les offres initiales de cryptomonnaie, les niveaux de sécurité, les vols et piratages de blockchains et de plateformes fondées sur la blockchain ou dans les </w:t>
      </w:r>
      <w:hyperlink r:id="rId23" w:tooltip="Portefeuille de crypto-monnaie" w:history="1">
        <w:r w:rsidRPr="003453CD">
          <w:rPr>
            <w:rStyle w:val="Hyperlink"/>
            <w:rFonts w:ascii="Arial" w:hAnsi="Arial" w:cs="Arial"/>
            <w:color w:val="auto"/>
            <w:sz w:val="21"/>
            <w:szCs w:val="21"/>
            <w:u w:val="none"/>
          </w:rPr>
          <w:t>portefeuilles de crypto-monnaies</w:t>
        </w:r>
      </w:hyperlink>
      <w:r w:rsidRPr="003453CD">
        <w:rPr>
          <w:rFonts w:ascii="Arial" w:hAnsi="Arial" w:cs="Arial"/>
          <w:sz w:val="21"/>
          <w:szCs w:val="21"/>
        </w:rPr>
        <w:t>. Ils en ont conclu : </w:t>
      </w:r>
      <w:r w:rsidRPr="003453CD">
        <w:rPr>
          <w:rStyle w:val="citation"/>
          <w:rFonts w:ascii="Arial" w:hAnsi="Arial" w:cs="Arial"/>
          <w:sz w:val="21"/>
          <w:szCs w:val="21"/>
        </w:rPr>
        <w:t>« Contrairement à la presse populaire, nous constatons qu'en pratique, la blockchain et les crypto-monnaies sont plus sujettes aux malversations, à la </w:t>
      </w:r>
      <w:hyperlink r:id="rId24" w:tooltip="Fraude" w:history="1">
        <w:r w:rsidRPr="003453CD">
          <w:rPr>
            <w:rStyle w:val="Hyperlink"/>
            <w:rFonts w:ascii="Arial" w:hAnsi="Arial" w:cs="Arial"/>
            <w:color w:val="auto"/>
            <w:sz w:val="21"/>
            <w:szCs w:val="21"/>
            <w:u w:val="none"/>
          </w:rPr>
          <w:t>fraude</w:t>
        </w:r>
      </w:hyperlink>
      <w:r w:rsidRPr="003453CD">
        <w:rPr>
          <w:rStyle w:val="citation"/>
          <w:rFonts w:ascii="Arial" w:hAnsi="Arial" w:cs="Arial"/>
          <w:sz w:val="21"/>
          <w:szCs w:val="21"/>
        </w:rPr>
        <w:t> et à la manipulation qu'on ne le pense généralement. La sécurité et la confiance fournies par la blockchain en tant qu'outil technologique ne sont pas plus sûres que le code sous-jacent qui établit la blockchain et la valeur dérivée des cryptomonnaies n'est pas plus fiable que l'entité développant la crypto-monnaie. Ni l'un ni l'autre ne sont sans vulnérabilités. Le </w:t>
      </w:r>
      <w:hyperlink r:id="rId25" w:tooltip="Scepticisme scientifique" w:history="1">
        <w:r w:rsidRPr="003453CD">
          <w:rPr>
            <w:rStyle w:val="Hyperlink"/>
            <w:rFonts w:ascii="Arial" w:hAnsi="Arial" w:cs="Arial"/>
            <w:color w:val="auto"/>
            <w:sz w:val="21"/>
            <w:szCs w:val="21"/>
            <w:u w:val="none"/>
          </w:rPr>
          <w:t>scepticisme</w:t>
        </w:r>
      </w:hyperlink>
      <w:r w:rsidRPr="003453CD">
        <w:rPr>
          <w:rStyle w:val="citation"/>
          <w:rFonts w:ascii="Arial" w:hAnsi="Arial" w:cs="Arial"/>
          <w:sz w:val="21"/>
          <w:szCs w:val="21"/>
        </w:rPr>
        <w:t> et une </w:t>
      </w:r>
      <w:hyperlink r:id="rId26" w:tooltip="Diligence raisonnable" w:history="1">
        <w:r w:rsidRPr="003453CD">
          <w:rPr>
            <w:rStyle w:val="Hyperlink"/>
            <w:rFonts w:ascii="Arial" w:hAnsi="Arial" w:cs="Arial"/>
            <w:color w:val="auto"/>
            <w:sz w:val="21"/>
            <w:szCs w:val="21"/>
            <w:u w:val="none"/>
          </w:rPr>
          <w:t>diligence raisonnable</w:t>
        </w:r>
      </w:hyperlink>
      <w:r w:rsidRPr="003453CD">
        <w:rPr>
          <w:rStyle w:val="citation"/>
          <w:rFonts w:ascii="Arial" w:hAnsi="Arial" w:cs="Arial"/>
          <w:sz w:val="21"/>
          <w:szCs w:val="21"/>
        </w:rPr>
        <w:t> appropriée doivent être maintenus pour toute entité cherchant à utiliser la technologie blockchain ou à investir dans les crypto-monnaies »</w:t>
      </w:r>
      <w:r w:rsidRPr="003453CD">
        <w:rPr>
          <w:rFonts w:ascii="Arial" w:hAnsi="Arial" w:cs="Arial"/>
          <w:sz w:val="21"/>
          <w:szCs w:val="21"/>
        </w:rPr>
        <w:t>.</w:t>
      </w:r>
    </w:p>
    <w:p w14:paraId="20CD80BB" w14:textId="55A8BB8F" w:rsidR="003453CD" w:rsidRPr="003453CD" w:rsidRDefault="0011337D" w:rsidP="003453CD">
      <w:pPr>
        <w:pStyle w:val="NormalWeb"/>
        <w:shd w:val="clear" w:color="auto" w:fill="FFFFFF"/>
        <w:spacing w:before="120" w:beforeAutospacing="0" w:after="120" w:afterAutospacing="0"/>
        <w:rPr>
          <w:rFonts w:ascii="Arial" w:hAnsi="Arial" w:cs="Arial"/>
          <w:sz w:val="21"/>
          <w:szCs w:val="21"/>
        </w:rPr>
      </w:pPr>
      <w:r>
        <w:rPr>
          <w:noProof/>
        </w:rPr>
        <w:drawing>
          <wp:anchor distT="0" distB="0" distL="114300" distR="114300" simplePos="0" relativeHeight="251658240" behindDoc="0" locked="0" layoutInCell="1" allowOverlap="1" wp14:anchorId="4C859B2C" wp14:editId="08CC1AA0">
            <wp:simplePos x="0" y="0"/>
            <wp:positionH relativeFrom="column">
              <wp:posOffset>-13335</wp:posOffset>
            </wp:positionH>
            <wp:positionV relativeFrom="paragraph">
              <wp:posOffset>22860</wp:posOffset>
            </wp:positionV>
            <wp:extent cx="1799590" cy="805815"/>
            <wp:effectExtent l="0" t="0" r="0" b="0"/>
            <wp:wrapSquare wrapText="bothSides"/>
            <wp:docPr id="2" name="Picture 2" descr="A picture containing tex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everal&#10;&#10;Description automatically generated"/>
                    <pic:cNvPicPr/>
                  </pic:nvPicPr>
                  <pic:blipFill rotWithShape="1">
                    <a:blip r:embed="rId27" cstate="print">
                      <a:extLst>
                        <a:ext uri="{28A0092B-C50C-407E-A947-70E740481C1C}">
                          <a14:useLocalDpi xmlns:a14="http://schemas.microsoft.com/office/drawing/2010/main" val="0"/>
                        </a:ext>
                      </a:extLst>
                    </a:blip>
                    <a:srcRect l="15954" r="12424"/>
                    <a:stretch/>
                  </pic:blipFill>
                  <pic:spPr bwMode="auto">
                    <a:xfrm>
                      <a:off x="0" y="0"/>
                      <a:ext cx="1799590" cy="805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2295">
        <w:rPr>
          <w:rStyle w:val="EndnoteReference"/>
          <w:rFonts w:ascii="Arial" w:hAnsi="Arial" w:cs="Arial"/>
          <w:sz w:val="21"/>
          <w:szCs w:val="21"/>
        </w:rPr>
        <w:endnoteReference w:id="3"/>
      </w:r>
      <w:r w:rsidR="003453CD" w:rsidRPr="003453CD">
        <w:rPr>
          <w:rFonts w:ascii="Arial" w:hAnsi="Arial" w:cs="Arial"/>
          <w:sz w:val="21"/>
          <w:szCs w:val="21"/>
        </w:rPr>
        <w:t>En d'autres termes la fiabilité de la blockchain dépend largement de la méthode employée pour la sécuriser, elle n'est pas automatiquement immuable.</w:t>
      </w:r>
    </w:p>
    <w:p w14:paraId="06D03F08" w14:textId="1513B14F" w:rsidR="003453CD" w:rsidRPr="003453CD" w:rsidRDefault="003453CD" w:rsidP="003453CD">
      <w:pPr>
        <w:pStyle w:val="NormalWeb"/>
        <w:shd w:val="clear" w:color="auto" w:fill="FFFFFF"/>
        <w:spacing w:before="120" w:beforeAutospacing="0" w:after="120" w:afterAutospacing="0"/>
        <w:rPr>
          <w:rFonts w:ascii="Arial" w:hAnsi="Arial" w:cs="Arial"/>
          <w:sz w:val="21"/>
          <w:szCs w:val="21"/>
        </w:rPr>
      </w:pPr>
      <w:r w:rsidRPr="003453CD">
        <w:rPr>
          <w:rFonts w:ascii="Arial" w:hAnsi="Arial" w:cs="Arial"/>
          <w:sz w:val="21"/>
          <w:szCs w:val="21"/>
        </w:rPr>
        <w:t>Selon les professionnels de la financ</w:t>
      </w:r>
      <w:r>
        <w:rPr>
          <w:rFonts w:ascii="Arial" w:hAnsi="Arial" w:cs="Arial"/>
          <w:sz w:val="21"/>
          <w:szCs w:val="21"/>
        </w:rPr>
        <w:t>e,</w:t>
      </w:r>
      <w:r w:rsidRPr="003453CD">
        <w:rPr>
          <w:rFonts w:ascii="Arial" w:hAnsi="Arial" w:cs="Arial"/>
          <w:sz w:val="21"/>
          <w:szCs w:val="21"/>
        </w:rPr>
        <w:t xml:space="preserve"> la qualité des données vérifiées et stockées « en chaîne » est considérablement inférieure à celle des états financiers résultant d'un véritable audit.</w:t>
      </w:r>
    </w:p>
    <w:p w14:paraId="7E0ED91D" w14:textId="6A19494A" w:rsidR="003453CD" w:rsidRDefault="003453CD" w:rsidP="003453CD">
      <w:pPr>
        <w:pStyle w:val="NormalWeb"/>
        <w:shd w:val="clear" w:color="auto" w:fill="FFFFFF"/>
        <w:spacing w:before="120" w:beforeAutospacing="0" w:after="120" w:afterAutospacing="0"/>
        <w:rPr>
          <w:rFonts w:ascii="Arial" w:hAnsi="Arial" w:cs="Arial"/>
          <w:color w:val="202122"/>
          <w:sz w:val="21"/>
          <w:szCs w:val="21"/>
        </w:rPr>
      </w:pPr>
      <w:r w:rsidRPr="003453CD">
        <w:rPr>
          <w:rFonts w:ascii="Arial" w:hAnsi="Arial" w:cs="Arial"/>
          <w:sz w:val="21"/>
          <w:szCs w:val="21"/>
        </w:rPr>
        <w:t>En, juin 2022, un rapport financé par la </w:t>
      </w:r>
      <w:proofErr w:type="spellStart"/>
      <w:r w:rsidRPr="00866887">
        <w:rPr>
          <w:rStyle w:val="lang-en"/>
          <w:rFonts w:ascii="Arial" w:hAnsi="Arial" w:cs="Arial"/>
          <w:i/>
          <w:iCs/>
          <w:sz w:val="21"/>
          <w:szCs w:val="21"/>
          <w:lang w:val="en"/>
        </w:rPr>
        <w:fldChar w:fldCharType="begin"/>
      </w:r>
      <w:r w:rsidRPr="00866887">
        <w:rPr>
          <w:rStyle w:val="lang-en"/>
          <w:rFonts w:ascii="Arial" w:hAnsi="Arial" w:cs="Arial"/>
          <w:i/>
          <w:iCs/>
          <w:sz w:val="21"/>
          <w:szCs w:val="21"/>
        </w:rPr>
        <w:instrText xml:space="preserve"> HYPERLINK "https://fr.wikipedia.org/wiki/Defense_Advanced_Research_Projects_Agency" \o "Defense Advanced Research Projects Agency" </w:instrText>
      </w:r>
      <w:r w:rsidRPr="00866887">
        <w:rPr>
          <w:rStyle w:val="lang-en"/>
          <w:rFonts w:ascii="Arial" w:hAnsi="Arial" w:cs="Arial"/>
          <w:i/>
          <w:iCs/>
          <w:sz w:val="21"/>
          <w:szCs w:val="21"/>
          <w:lang w:val="en"/>
        </w:rPr>
        <w:fldChar w:fldCharType="separate"/>
      </w:r>
      <w:r w:rsidRPr="00866887">
        <w:rPr>
          <w:rStyle w:val="Hyperlink"/>
          <w:rFonts w:ascii="Arial" w:hAnsi="Arial" w:cs="Arial"/>
          <w:i/>
          <w:iCs/>
          <w:color w:val="auto"/>
          <w:sz w:val="21"/>
          <w:szCs w:val="21"/>
          <w:u w:val="none"/>
        </w:rPr>
        <w:t>Defense</w:t>
      </w:r>
      <w:proofErr w:type="spellEnd"/>
      <w:r w:rsidRPr="00866887">
        <w:rPr>
          <w:rStyle w:val="Hyperlink"/>
          <w:rFonts w:ascii="Arial" w:hAnsi="Arial" w:cs="Arial"/>
          <w:i/>
          <w:iCs/>
          <w:color w:val="auto"/>
          <w:sz w:val="21"/>
          <w:szCs w:val="21"/>
          <w:u w:val="none"/>
        </w:rPr>
        <w:t xml:space="preserve"> Advanced </w:t>
      </w:r>
      <w:proofErr w:type="spellStart"/>
      <w:r w:rsidRPr="00866887">
        <w:rPr>
          <w:rStyle w:val="Hyperlink"/>
          <w:rFonts w:ascii="Arial" w:hAnsi="Arial" w:cs="Arial"/>
          <w:i/>
          <w:iCs/>
          <w:color w:val="auto"/>
          <w:sz w:val="21"/>
          <w:szCs w:val="21"/>
          <w:u w:val="none"/>
        </w:rPr>
        <w:t>Research</w:t>
      </w:r>
      <w:proofErr w:type="spellEnd"/>
      <w:r w:rsidRPr="00866887">
        <w:rPr>
          <w:rStyle w:val="Hyperlink"/>
          <w:rFonts w:ascii="Arial" w:hAnsi="Arial" w:cs="Arial"/>
          <w:i/>
          <w:iCs/>
          <w:color w:val="auto"/>
          <w:sz w:val="21"/>
          <w:szCs w:val="21"/>
          <w:u w:val="none"/>
        </w:rPr>
        <w:t xml:space="preserve"> </w:t>
      </w:r>
      <w:proofErr w:type="spellStart"/>
      <w:r w:rsidRPr="00866887">
        <w:rPr>
          <w:rStyle w:val="Hyperlink"/>
          <w:rFonts w:ascii="Arial" w:hAnsi="Arial" w:cs="Arial"/>
          <w:i/>
          <w:iCs/>
          <w:color w:val="auto"/>
          <w:sz w:val="21"/>
          <w:szCs w:val="21"/>
          <w:u w:val="none"/>
        </w:rPr>
        <w:t>Projects</w:t>
      </w:r>
      <w:proofErr w:type="spellEnd"/>
      <w:r w:rsidRPr="00866887">
        <w:rPr>
          <w:rStyle w:val="Hyperlink"/>
          <w:rFonts w:ascii="Arial" w:hAnsi="Arial" w:cs="Arial"/>
          <w:i/>
          <w:iCs/>
          <w:color w:val="auto"/>
          <w:sz w:val="21"/>
          <w:szCs w:val="21"/>
          <w:u w:val="none"/>
        </w:rPr>
        <w:t xml:space="preserve"> Agency</w:t>
      </w:r>
      <w:r w:rsidRPr="00866887">
        <w:rPr>
          <w:rStyle w:val="lang-en"/>
          <w:rFonts w:ascii="Arial" w:hAnsi="Arial" w:cs="Arial"/>
          <w:i/>
          <w:iCs/>
          <w:sz w:val="21"/>
          <w:szCs w:val="21"/>
          <w:lang w:val="en"/>
        </w:rPr>
        <w:fldChar w:fldCharType="end"/>
      </w:r>
      <w:r w:rsidRPr="003453CD">
        <w:rPr>
          <w:rFonts w:ascii="Arial" w:hAnsi="Arial" w:cs="Arial"/>
          <w:sz w:val="21"/>
          <w:szCs w:val="21"/>
        </w:rPr>
        <w:t> (DARPA) américaine indique qu'une blockchain </w:t>
      </w:r>
      <w:r w:rsidRPr="003453CD">
        <w:rPr>
          <w:rStyle w:val="needref"/>
          <w:rFonts w:ascii="Arial" w:hAnsi="Arial" w:cs="Arial"/>
          <w:sz w:val="21"/>
          <w:szCs w:val="21"/>
        </w:rPr>
        <w:t>peut être excessivement centralisée en exploitant les faiblesses des propriétés de son implémentation</w:t>
      </w:r>
      <w:r w:rsidR="00002C1E">
        <w:rPr>
          <w:rStyle w:val="EndnoteReference"/>
          <w:rFonts w:ascii="Arial" w:hAnsi="Arial" w:cs="Arial"/>
          <w:color w:val="202122"/>
          <w:sz w:val="21"/>
          <w:szCs w:val="21"/>
        </w:rPr>
        <w:endnoteReference w:id="4"/>
      </w:r>
    </w:p>
    <w:p w14:paraId="24994BE5" w14:textId="2A6418E1" w:rsidR="003453CD" w:rsidRDefault="003453CD" w:rsidP="003453CD">
      <w:pPr>
        <w:rPr>
          <w:lang w:eastAsia="fr-CA"/>
        </w:rPr>
      </w:pPr>
    </w:p>
    <w:p w14:paraId="58B80D4D" w14:textId="7BEDDA00" w:rsidR="003453CD" w:rsidRPr="003453CD" w:rsidRDefault="003453CD" w:rsidP="003453CD">
      <w:pPr>
        <w:rPr>
          <w:lang w:eastAsia="fr-CA"/>
        </w:rPr>
      </w:pPr>
    </w:p>
    <w:p w14:paraId="0221D18E" w14:textId="569752DF" w:rsidR="000A504D" w:rsidRPr="003453CD" w:rsidRDefault="00002C1E" w:rsidP="008F0AA7">
      <w:pPr>
        <w:pStyle w:val="Heading1"/>
        <w:rPr>
          <w:lang w:val="fr-CA"/>
        </w:rPr>
      </w:pPr>
      <w:bookmarkStart w:id="3" w:name="_Toc114438014"/>
      <w:r>
        <w:rPr>
          <w:lang w:val="fr-CA"/>
        </w:rPr>
        <w:t>Fonctionnement</w:t>
      </w:r>
      <w:bookmarkEnd w:id="3"/>
    </w:p>
    <w:p w14:paraId="6C702752" w14:textId="6580D3FB" w:rsidR="00EE37FB" w:rsidRPr="003453CD" w:rsidRDefault="00002C1E" w:rsidP="00EE37FB">
      <w:pPr>
        <w:pStyle w:val="Heading2"/>
      </w:pPr>
      <w:bookmarkStart w:id="4" w:name="_Toc114438015"/>
      <w:r>
        <w:t>La preuve de travail, méthode historique de consensus</w:t>
      </w:r>
      <w:bookmarkEnd w:id="4"/>
    </w:p>
    <w:p w14:paraId="0B11CC13" w14:textId="77777777" w:rsidR="005F607C" w:rsidRDefault="00002C1E" w:rsidP="005F607C">
      <w:pPr>
        <w:pStyle w:val="NormalWeb"/>
        <w:numPr>
          <w:ilvl w:val="0"/>
          <w:numId w:val="2"/>
        </w:numPr>
        <w:shd w:val="clear" w:color="auto" w:fill="FFFFFF"/>
        <w:spacing w:before="120" w:beforeAutospacing="0" w:after="120" w:afterAutospacing="0"/>
        <w:rPr>
          <w:rFonts w:ascii="Arial" w:hAnsi="Arial" w:cs="Arial"/>
          <w:sz w:val="21"/>
          <w:szCs w:val="21"/>
        </w:rPr>
      </w:pPr>
      <w:r w:rsidRPr="00002C1E">
        <w:rPr>
          <w:rFonts w:ascii="Arial" w:hAnsi="Arial" w:cs="Arial"/>
          <w:sz w:val="21"/>
          <w:szCs w:val="21"/>
        </w:rPr>
        <w:t>La chaîne de blocs est une forme de mise en œuvre de la solution du </w:t>
      </w:r>
      <w:r w:rsidRPr="00002C1E">
        <w:rPr>
          <w:rStyle w:val="citation"/>
          <w:rFonts w:ascii="Arial" w:hAnsi="Arial" w:cs="Arial"/>
          <w:sz w:val="21"/>
          <w:szCs w:val="21"/>
        </w:rPr>
        <w:t>« </w:t>
      </w:r>
      <w:hyperlink r:id="rId28" w:tooltip="Problème des généraux byzantins" w:history="1">
        <w:r w:rsidRPr="00002C1E">
          <w:rPr>
            <w:rStyle w:val="Hyperlink"/>
            <w:rFonts w:ascii="Arial" w:hAnsi="Arial" w:cs="Arial"/>
            <w:color w:val="auto"/>
            <w:sz w:val="21"/>
            <w:szCs w:val="21"/>
            <w:u w:val="none"/>
          </w:rPr>
          <w:t>problème des généraux byzantins</w:t>
        </w:r>
      </w:hyperlink>
      <w:r w:rsidRPr="00002C1E">
        <w:rPr>
          <w:rStyle w:val="citation"/>
          <w:rFonts w:ascii="Arial" w:hAnsi="Arial" w:cs="Arial"/>
          <w:sz w:val="21"/>
          <w:szCs w:val="21"/>
        </w:rPr>
        <w:t> »</w:t>
      </w:r>
      <w:r w:rsidRPr="00002C1E">
        <w:rPr>
          <w:rFonts w:ascii="Arial" w:hAnsi="Arial" w:cs="Arial"/>
          <w:sz w:val="21"/>
          <w:szCs w:val="21"/>
        </w:rPr>
        <w:t xml:space="preserve">. </w:t>
      </w:r>
    </w:p>
    <w:p w14:paraId="4674CA8A" w14:textId="77777777" w:rsidR="005F607C" w:rsidRDefault="00002C1E" w:rsidP="005F607C">
      <w:pPr>
        <w:pStyle w:val="NormalWeb"/>
        <w:numPr>
          <w:ilvl w:val="0"/>
          <w:numId w:val="2"/>
        </w:numPr>
        <w:shd w:val="clear" w:color="auto" w:fill="FFFFFF"/>
        <w:spacing w:before="120" w:beforeAutospacing="0" w:after="120" w:afterAutospacing="0"/>
        <w:rPr>
          <w:rFonts w:ascii="Arial" w:hAnsi="Arial" w:cs="Arial"/>
          <w:sz w:val="21"/>
          <w:szCs w:val="21"/>
        </w:rPr>
      </w:pPr>
      <w:r w:rsidRPr="00002C1E">
        <w:rPr>
          <w:rFonts w:ascii="Arial" w:hAnsi="Arial" w:cs="Arial"/>
          <w:sz w:val="21"/>
          <w:szCs w:val="21"/>
        </w:rPr>
        <w:lastRenderedPageBreak/>
        <w:t xml:space="preserve">Ce problème mathématique consiste à s'assurer qu’un ensemble de composants informatiques fonctionnant de concert sache gérer des défaillances (ou malveillances) et arrive à produire un consensus. </w:t>
      </w:r>
    </w:p>
    <w:p w14:paraId="3B52C119" w14:textId="44CEA3F5" w:rsidR="00002C1E" w:rsidRPr="00002C1E" w:rsidRDefault="00002C1E" w:rsidP="005F607C">
      <w:pPr>
        <w:pStyle w:val="NormalWeb"/>
        <w:numPr>
          <w:ilvl w:val="0"/>
          <w:numId w:val="2"/>
        </w:numPr>
        <w:shd w:val="clear" w:color="auto" w:fill="FFFFFF"/>
        <w:spacing w:before="120" w:beforeAutospacing="0" w:after="120" w:afterAutospacing="0"/>
        <w:rPr>
          <w:rFonts w:ascii="Arial" w:hAnsi="Arial" w:cs="Arial"/>
          <w:sz w:val="21"/>
          <w:szCs w:val="21"/>
        </w:rPr>
      </w:pPr>
      <w:r w:rsidRPr="00002C1E">
        <w:rPr>
          <w:rFonts w:ascii="Arial" w:hAnsi="Arial" w:cs="Arial"/>
          <w:sz w:val="21"/>
          <w:szCs w:val="21"/>
        </w:rPr>
        <w:t>Le système doit pouvoir maintenir sa fiabilité dans le cas où une part des participants enverrait des informations erronées ou malveillantes, comme dans le cas d'une cryptomonnaie, pour contourner la vérification de la double dépense par les </w:t>
      </w:r>
      <w:hyperlink r:id="rId29" w:tooltip="Minage de cryptomonnaie" w:history="1">
        <w:r w:rsidRPr="00002C1E">
          <w:rPr>
            <w:rStyle w:val="Hyperlink"/>
            <w:rFonts w:ascii="Arial" w:hAnsi="Arial" w:cs="Arial"/>
            <w:color w:val="auto"/>
            <w:sz w:val="21"/>
            <w:szCs w:val="21"/>
            <w:u w:val="none"/>
          </w:rPr>
          <w:t>mineurs</w:t>
        </w:r>
      </w:hyperlink>
      <w:r w:rsidRPr="00002C1E">
        <w:rPr>
          <w:rFonts w:ascii="Arial" w:hAnsi="Arial" w:cs="Arial"/>
          <w:sz w:val="21"/>
          <w:szCs w:val="21"/>
        </w:rPr>
        <w:t> du réseau (la double dépense consiste à réaliser deux paiements simultanément : un vers soi-même et un autre vers une victime ; l'objectif est de voir le paiement vers la victime inscrit dans la chaîne de blocs suffisamment longtemps pour tromper la victime mais inscrit de sorte qu'il finisse par être entièrement remplacé par le paiement vers soi-même).</w:t>
      </w:r>
    </w:p>
    <w:p w14:paraId="1A4F1F1A" w14:textId="25F21B68" w:rsidR="005249C2" w:rsidRDefault="00002C1E" w:rsidP="00002C1E">
      <w:pPr>
        <w:pStyle w:val="NormalWeb"/>
        <w:shd w:val="clear" w:color="auto" w:fill="FFFFFF"/>
        <w:spacing w:before="120" w:beforeAutospacing="0" w:after="120" w:afterAutospacing="0"/>
        <w:rPr>
          <w:rFonts w:ascii="Arial" w:hAnsi="Arial" w:cs="Arial"/>
          <w:sz w:val="21"/>
          <w:szCs w:val="21"/>
        </w:rPr>
      </w:pPr>
      <w:r w:rsidRPr="00002C1E">
        <w:rPr>
          <w:rFonts w:ascii="Arial" w:hAnsi="Arial" w:cs="Arial"/>
          <w:sz w:val="21"/>
          <w:szCs w:val="21"/>
        </w:rPr>
        <w:t>La méthode historique pour aboutir à ce type de consensus est « la </w:t>
      </w:r>
      <w:hyperlink r:id="rId30" w:tooltip="Preuve de travail" w:history="1">
        <w:r w:rsidRPr="00002C1E">
          <w:rPr>
            <w:rStyle w:val="Hyperlink"/>
            <w:rFonts w:ascii="Arial" w:hAnsi="Arial" w:cs="Arial"/>
            <w:color w:val="auto"/>
            <w:sz w:val="21"/>
            <w:szCs w:val="21"/>
            <w:u w:val="none"/>
          </w:rPr>
          <w:t>preuve de travail</w:t>
        </w:r>
      </w:hyperlink>
      <w:r w:rsidRPr="00002C1E">
        <w:rPr>
          <w:rFonts w:ascii="Arial" w:hAnsi="Arial" w:cs="Arial"/>
          <w:sz w:val="21"/>
          <w:szCs w:val="21"/>
        </w:rPr>
        <w:t> » (</w:t>
      </w:r>
      <w:r w:rsidRPr="00002C1E">
        <w:rPr>
          <w:rStyle w:val="lang-en"/>
          <w:rFonts w:ascii="Arial" w:hAnsi="Arial" w:cs="Arial"/>
          <w:sz w:val="21"/>
          <w:szCs w:val="21"/>
        </w:rPr>
        <w:t xml:space="preserve">proof of </w:t>
      </w:r>
      <w:proofErr w:type="spellStart"/>
      <w:r w:rsidRPr="00002C1E">
        <w:rPr>
          <w:rStyle w:val="lang-en"/>
          <w:rFonts w:ascii="Arial" w:hAnsi="Arial" w:cs="Arial"/>
          <w:sz w:val="21"/>
          <w:szCs w:val="21"/>
        </w:rPr>
        <w:t>work</w:t>
      </w:r>
      <w:proofErr w:type="spellEnd"/>
      <w:r w:rsidRPr="00002C1E">
        <w:rPr>
          <w:rFonts w:ascii="Arial" w:hAnsi="Arial" w:cs="Arial"/>
          <w:sz w:val="21"/>
          <w:szCs w:val="21"/>
        </w:rPr>
        <w:t>). Cette méthode utilise un problème mathématique dont la solution permet de vérifier que le « mineur » a bien réalisé un travail. Le protocole utilise un système </w:t>
      </w:r>
      <w:hyperlink r:id="rId31" w:tooltip="Cryptographie" w:history="1">
        <w:r w:rsidRPr="00002C1E">
          <w:rPr>
            <w:rStyle w:val="Hyperlink"/>
            <w:rFonts w:ascii="Arial" w:hAnsi="Arial" w:cs="Arial"/>
            <w:color w:val="auto"/>
            <w:sz w:val="21"/>
            <w:szCs w:val="21"/>
            <w:u w:val="none"/>
          </w:rPr>
          <w:t>cryptographique</w:t>
        </w:r>
      </w:hyperlink>
      <w:r w:rsidRPr="00002C1E">
        <w:rPr>
          <w:rFonts w:ascii="Arial" w:hAnsi="Arial" w:cs="Arial"/>
          <w:sz w:val="21"/>
          <w:szCs w:val="21"/>
        </w:rPr>
        <w:t> fondé sur un système décentralisé de preuves : la résolution de la preuve nécessite une puissance de calcul informatique élevée, fournie par les mineurs. Les mineurs sont des entités dont le rôle est d’alimenter le réseau en </w:t>
      </w:r>
      <w:hyperlink r:id="rId32" w:tooltip="FLOPS" w:history="1">
        <w:r w:rsidRPr="00002C1E">
          <w:rPr>
            <w:rStyle w:val="Hyperlink"/>
            <w:rFonts w:ascii="Arial" w:hAnsi="Arial" w:cs="Arial"/>
            <w:color w:val="auto"/>
            <w:sz w:val="21"/>
            <w:szCs w:val="21"/>
            <w:u w:val="none"/>
          </w:rPr>
          <w:t>puissance de calcul</w:t>
        </w:r>
      </w:hyperlink>
      <w:r w:rsidRPr="00002C1E">
        <w:rPr>
          <w:rFonts w:ascii="Arial" w:hAnsi="Arial" w:cs="Arial"/>
          <w:sz w:val="21"/>
          <w:szCs w:val="21"/>
        </w:rPr>
        <w:t>, pour permettre la mise à jour de la base de données décentralisée. Pour cette mise à jour, les mineurs doivent confirmer les nouveaux blocs en validant les données. Dans le cas du </w:t>
      </w:r>
      <w:hyperlink r:id="rId33" w:tooltip="Bitcoin" w:history="1">
        <w:r w:rsidRPr="00002C1E">
          <w:rPr>
            <w:rStyle w:val="Hyperlink"/>
            <w:rFonts w:ascii="Arial" w:hAnsi="Arial" w:cs="Arial"/>
            <w:color w:val="auto"/>
            <w:sz w:val="21"/>
            <w:szCs w:val="21"/>
            <w:u w:val="none"/>
          </w:rPr>
          <w:t>bitcoin</w:t>
        </w:r>
      </w:hyperlink>
      <w:r w:rsidRPr="00002C1E">
        <w:rPr>
          <w:rFonts w:ascii="Arial" w:hAnsi="Arial" w:cs="Arial"/>
          <w:sz w:val="21"/>
          <w:szCs w:val="21"/>
        </w:rPr>
        <w:t> et dans le cas d'ajout de blocs à la chaîne, il faut résoudre un problème de cryptographie par </w:t>
      </w:r>
      <w:hyperlink r:id="rId34" w:tooltip="Recherche exhaustive" w:history="1">
        <w:r w:rsidRPr="00002C1E">
          <w:rPr>
            <w:rStyle w:val="Hyperlink"/>
            <w:rFonts w:ascii="Arial" w:hAnsi="Arial" w:cs="Arial"/>
            <w:color w:val="auto"/>
            <w:sz w:val="21"/>
            <w:szCs w:val="21"/>
            <w:u w:val="none"/>
          </w:rPr>
          <w:t>force brute</w:t>
        </w:r>
      </w:hyperlink>
      <w:r w:rsidRPr="00002C1E">
        <w:rPr>
          <w:rFonts w:ascii="Arial" w:hAnsi="Arial" w:cs="Arial"/>
          <w:sz w:val="21"/>
          <w:szCs w:val="21"/>
        </w:rPr>
        <w:t> pour pouvoir ajouter un nouveau bloc. Selon la « difficulté » de la chaîne au moment de la résolution, celle-ci peut nécessiter de répéter plusieurs centaines de milliards de fois la même opération. Dans le cas du bitcoin, un mineur est uniquement rémunéré pour son travail fourni s'il a été le premier à résoudre le problème cryptographique.</w:t>
      </w:r>
    </w:p>
    <w:p w14:paraId="541231A8" w14:textId="5907E1CE" w:rsidR="002D2FF6" w:rsidRDefault="002D2FF6" w:rsidP="00002C1E">
      <w:pPr>
        <w:pStyle w:val="NormalWeb"/>
        <w:shd w:val="clear" w:color="auto" w:fill="FFFFFF"/>
        <w:spacing w:before="120" w:beforeAutospacing="0" w:after="120" w:afterAutospacing="0"/>
        <w:rPr>
          <w:rFonts w:ascii="Arial" w:hAnsi="Arial" w:cs="Arial"/>
          <w:sz w:val="21"/>
          <w:szCs w:val="21"/>
        </w:rPr>
      </w:pPr>
    </w:p>
    <w:p w14:paraId="1E6E8BA2" w14:textId="42670A8E" w:rsidR="002D2FF6" w:rsidRDefault="002D2FF6" w:rsidP="002D2FF6">
      <w:pPr>
        <w:pStyle w:val="Heading2"/>
      </w:pPr>
      <w:bookmarkStart w:id="5" w:name="_Toc114438016"/>
      <w:r>
        <w:t>Gouvernance</w:t>
      </w:r>
      <w:r>
        <w:rPr>
          <w:rStyle w:val="EndnoteReference"/>
        </w:rPr>
        <w:endnoteReference w:id="5"/>
      </w:r>
      <w:bookmarkEnd w:id="5"/>
    </w:p>
    <w:p w14:paraId="405C9863" w14:textId="77777777" w:rsidR="002D2FF6" w:rsidRDefault="002D2FF6" w:rsidP="002D2FF6">
      <w:pPr>
        <w:pStyle w:val="NormalWeb"/>
        <w:numPr>
          <w:ilvl w:val="0"/>
          <w:numId w:val="5"/>
        </w:numPr>
        <w:shd w:val="clear" w:color="auto" w:fill="FFFFFF"/>
        <w:spacing w:before="120" w:beforeAutospacing="0" w:after="120" w:afterAutospacing="0"/>
        <w:jc w:val="both"/>
        <w:rPr>
          <w:rFonts w:ascii="Arial" w:hAnsi="Arial" w:cs="Arial"/>
          <w:sz w:val="21"/>
          <w:szCs w:val="21"/>
        </w:rPr>
      </w:pPr>
      <w:r w:rsidRPr="002D2FF6">
        <w:rPr>
          <w:rFonts w:ascii="Arial" w:hAnsi="Arial" w:cs="Arial"/>
          <w:sz w:val="21"/>
          <w:szCs w:val="21"/>
        </w:rPr>
        <w:t>Il est important de noter que la notion de Loi dans les blockchains ne doit pas être comprise au sens des </w:t>
      </w:r>
      <w:hyperlink r:id="rId35" w:tooltip="Loi" w:history="1">
        <w:r w:rsidRPr="002D2FF6">
          <w:rPr>
            <w:rStyle w:val="Hyperlink"/>
            <w:rFonts w:ascii="Arial" w:hAnsi="Arial" w:cs="Arial"/>
            <w:color w:val="auto"/>
            <w:sz w:val="21"/>
            <w:szCs w:val="21"/>
            <w:u w:val="none"/>
          </w:rPr>
          <w:t>lois</w:t>
        </w:r>
      </w:hyperlink>
      <w:r w:rsidRPr="002D2FF6">
        <w:rPr>
          <w:rFonts w:ascii="Arial" w:hAnsi="Arial" w:cs="Arial"/>
          <w:sz w:val="21"/>
          <w:szCs w:val="21"/>
        </w:rPr>
        <w:t> législatives (votées par un parlement d'une nation par exemple), mais d'une loi interne au processus de la blockchain, géré par la gouvernance de cette blockchain.</w:t>
      </w:r>
    </w:p>
    <w:p w14:paraId="5A6ADAAD" w14:textId="77777777" w:rsidR="002D2FF6" w:rsidRDefault="002D2FF6" w:rsidP="002D2FF6">
      <w:pPr>
        <w:pStyle w:val="NormalWeb"/>
        <w:numPr>
          <w:ilvl w:val="0"/>
          <w:numId w:val="5"/>
        </w:numPr>
        <w:shd w:val="clear" w:color="auto" w:fill="FFFFFF"/>
        <w:spacing w:before="120" w:beforeAutospacing="0" w:after="120" w:afterAutospacing="0"/>
        <w:ind w:left="1491" w:hanging="357"/>
        <w:jc w:val="both"/>
        <w:rPr>
          <w:rFonts w:ascii="Arial" w:hAnsi="Arial" w:cs="Arial"/>
          <w:sz w:val="21"/>
          <w:szCs w:val="21"/>
        </w:rPr>
      </w:pPr>
      <w:r w:rsidRPr="002D2FF6">
        <w:rPr>
          <w:rFonts w:ascii="Arial" w:hAnsi="Arial" w:cs="Arial"/>
          <w:sz w:val="21"/>
          <w:szCs w:val="21"/>
        </w:rPr>
        <w:t xml:space="preserve"> La phrase usuelle Code </w:t>
      </w:r>
      <w:proofErr w:type="spellStart"/>
      <w:r w:rsidRPr="002D2FF6">
        <w:rPr>
          <w:rFonts w:ascii="Arial" w:hAnsi="Arial" w:cs="Arial"/>
          <w:sz w:val="21"/>
          <w:szCs w:val="21"/>
        </w:rPr>
        <w:t>is</w:t>
      </w:r>
      <w:proofErr w:type="spellEnd"/>
      <w:r w:rsidRPr="002D2FF6">
        <w:rPr>
          <w:rFonts w:ascii="Arial" w:hAnsi="Arial" w:cs="Arial"/>
          <w:sz w:val="21"/>
          <w:szCs w:val="21"/>
        </w:rPr>
        <w:t xml:space="preserve"> </w:t>
      </w:r>
      <w:proofErr w:type="spellStart"/>
      <w:r w:rsidRPr="002D2FF6">
        <w:rPr>
          <w:rFonts w:ascii="Arial" w:hAnsi="Arial" w:cs="Arial"/>
          <w:sz w:val="21"/>
          <w:szCs w:val="21"/>
        </w:rPr>
        <w:t>law</w:t>
      </w:r>
      <w:proofErr w:type="spellEnd"/>
      <w:r w:rsidRPr="002D2FF6">
        <w:rPr>
          <w:rFonts w:ascii="Arial" w:hAnsi="Arial" w:cs="Arial"/>
          <w:sz w:val="21"/>
          <w:szCs w:val="21"/>
        </w:rPr>
        <w:t xml:space="preserve"> régulièrement utilisée comme règle de gouvernance des blockchains ne se réfère donc pas aux lois nationales ou internationale mais uniquement aux « règles de gouvernance » édictées et applicables à la Blockchain. </w:t>
      </w:r>
    </w:p>
    <w:p w14:paraId="3FC331C2" w14:textId="77777777" w:rsidR="002D2FF6" w:rsidRDefault="002D2FF6" w:rsidP="002D2FF6">
      <w:pPr>
        <w:pStyle w:val="NormalWeb"/>
        <w:numPr>
          <w:ilvl w:val="0"/>
          <w:numId w:val="5"/>
        </w:numPr>
        <w:shd w:val="clear" w:color="auto" w:fill="FFFFFF"/>
        <w:spacing w:before="120" w:beforeAutospacing="0" w:after="120" w:afterAutospacing="0"/>
        <w:jc w:val="both"/>
        <w:rPr>
          <w:rFonts w:ascii="Arial" w:hAnsi="Arial" w:cs="Arial"/>
          <w:sz w:val="21"/>
          <w:szCs w:val="21"/>
        </w:rPr>
      </w:pPr>
      <w:r w:rsidRPr="002D2FF6">
        <w:rPr>
          <w:rFonts w:ascii="Arial" w:hAnsi="Arial" w:cs="Arial"/>
          <w:sz w:val="21"/>
          <w:szCs w:val="21"/>
        </w:rPr>
        <w:t xml:space="preserve">Dans ce cas, ces lois ne sont souvent que des codes et algorithmes informatiques, afin que les règles édictées puissent être vérifiées par les mineurs lors des sessions de vérification des transactions. </w:t>
      </w:r>
    </w:p>
    <w:p w14:paraId="4C60786F" w14:textId="5053F3F7" w:rsidR="002D2FF6" w:rsidRPr="002D2FF6" w:rsidRDefault="002D2FF6" w:rsidP="002D2FF6">
      <w:pPr>
        <w:pStyle w:val="NormalWeb"/>
        <w:numPr>
          <w:ilvl w:val="0"/>
          <w:numId w:val="5"/>
        </w:numPr>
        <w:shd w:val="clear" w:color="auto" w:fill="FFFFFF"/>
        <w:spacing w:before="120" w:beforeAutospacing="0" w:after="120" w:afterAutospacing="0"/>
        <w:jc w:val="both"/>
        <w:rPr>
          <w:rFonts w:ascii="Arial" w:hAnsi="Arial" w:cs="Arial"/>
          <w:sz w:val="21"/>
          <w:szCs w:val="21"/>
        </w:rPr>
      </w:pPr>
      <w:r w:rsidRPr="002D2FF6">
        <w:rPr>
          <w:rFonts w:ascii="Arial" w:hAnsi="Arial" w:cs="Arial"/>
          <w:sz w:val="21"/>
          <w:szCs w:val="21"/>
        </w:rPr>
        <w:t>Toute transaction qui respecte les codes est acceptée dans la blockchain, sinon, la modification est rejetée, sans intervention humaine de la gouvernance (sauf exception).</w:t>
      </w:r>
    </w:p>
    <w:p w14:paraId="2BF9075A" w14:textId="13C6AF33" w:rsidR="002D2FF6" w:rsidRPr="002D2FF6" w:rsidRDefault="002D2FF6" w:rsidP="002D2FF6">
      <w:pPr>
        <w:pStyle w:val="NormalWeb"/>
        <w:shd w:val="clear" w:color="auto" w:fill="FFFFFF"/>
        <w:spacing w:before="120" w:beforeAutospacing="0" w:after="120" w:afterAutospacing="0"/>
        <w:ind w:left="360"/>
        <w:jc w:val="both"/>
        <w:rPr>
          <w:rFonts w:ascii="Arial" w:hAnsi="Arial" w:cs="Arial"/>
          <w:sz w:val="21"/>
          <w:szCs w:val="21"/>
        </w:rPr>
      </w:pPr>
      <w:r w:rsidRPr="002D2FF6">
        <w:rPr>
          <w:rFonts w:ascii="Arial" w:hAnsi="Arial" w:cs="Arial"/>
          <w:sz w:val="21"/>
          <w:szCs w:val="21"/>
        </w:rPr>
        <w:t>Plusieurs modes de gouvernance sont possibles :</w:t>
      </w:r>
    </w:p>
    <w:p w14:paraId="0B9BD70C" w14:textId="77777777" w:rsidR="002D2FF6" w:rsidRPr="002D2FF6" w:rsidRDefault="002D2FF6" w:rsidP="002D2FF6">
      <w:pPr>
        <w:shd w:val="clear" w:color="auto" w:fill="FFFFFF"/>
        <w:spacing w:before="100" w:beforeAutospacing="1" w:after="24" w:line="240" w:lineRule="auto"/>
        <w:ind w:left="360"/>
        <w:jc w:val="both"/>
        <w:rPr>
          <w:rFonts w:ascii="Arial" w:hAnsi="Arial" w:cs="Arial"/>
          <w:sz w:val="21"/>
          <w:szCs w:val="21"/>
        </w:rPr>
      </w:pPr>
      <w:r w:rsidRPr="002D2FF6">
        <w:rPr>
          <w:rFonts w:ascii="Arial" w:hAnsi="Arial" w:cs="Arial"/>
          <w:sz w:val="21"/>
          <w:szCs w:val="21"/>
        </w:rPr>
        <w:lastRenderedPageBreak/>
        <w:t>Un mode </w:t>
      </w:r>
      <w:r w:rsidRPr="002D2FF6">
        <w:rPr>
          <w:rStyle w:val="citation"/>
          <w:rFonts w:ascii="Arial" w:hAnsi="Arial" w:cs="Arial"/>
          <w:sz w:val="21"/>
          <w:szCs w:val="21"/>
        </w:rPr>
        <w:t>« ouvert »</w:t>
      </w:r>
      <w:r w:rsidRPr="002D2FF6">
        <w:rPr>
          <w:rFonts w:ascii="Arial" w:hAnsi="Arial" w:cs="Arial"/>
          <w:sz w:val="21"/>
          <w:szCs w:val="21"/>
        </w:rPr>
        <w:t> (tout le monde peut lire et écrire les registres de la chaîne). Dans ce cas, en règle générale, la loi applicable à la chaîne est la loi (</w:t>
      </w:r>
      <w:hyperlink r:id="rId36" w:tooltip="Code source" w:history="1">
        <w:r w:rsidRPr="002D2FF6">
          <w:rPr>
            <w:rStyle w:val="Hyperlink"/>
            <w:rFonts w:ascii="Arial" w:hAnsi="Arial" w:cs="Arial"/>
            <w:color w:val="auto"/>
            <w:sz w:val="21"/>
            <w:szCs w:val="21"/>
            <w:u w:val="none"/>
          </w:rPr>
          <w:t>code algorithmique</w:t>
        </w:r>
      </w:hyperlink>
      <w:r w:rsidRPr="002D2FF6">
        <w:rPr>
          <w:rFonts w:ascii="Arial" w:hAnsi="Arial" w:cs="Arial"/>
          <w:sz w:val="21"/>
          <w:szCs w:val="21"/>
        </w:rPr>
        <w:t>) désignée par les parties.</w:t>
      </w:r>
    </w:p>
    <w:p w14:paraId="7495A88B" w14:textId="77777777" w:rsidR="002D2FF6" w:rsidRPr="002D2FF6" w:rsidRDefault="002D2FF6" w:rsidP="002D2FF6">
      <w:pPr>
        <w:shd w:val="clear" w:color="auto" w:fill="FFFFFF"/>
        <w:spacing w:before="100" w:beforeAutospacing="1" w:after="24" w:line="240" w:lineRule="auto"/>
        <w:ind w:left="360"/>
        <w:jc w:val="both"/>
        <w:rPr>
          <w:rFonts w:ascii="Arial" w:hAnsi="Arial" w:cs="Arial"/>
          <w:sz w:val="21"/>
          <w:szCs w:val="21"/>
        </w:rPr>
      </w:pPr>
      <w:r w:rsidRPr="002D2FF6">
        <w:rPr>
          <w:rFonts w:ascii="Arial" w:hAnsi="Arial" w:cs="Arial"/>
          <w:sz w:val="21"/>
          <w:szCs w:val="21"/>
        </w:rPr>
        <w:t>Un mode </w:t>
      </w:r>
      <w:r w:rsidRPr="002D2FF6">
        <w:rPr>
          <w:rStyle w:val="citation"/>
          <w:rFonts w:ascii="Arial" w:hAnsi="Arial" w:cs="Arial"/>
          <w:sz w:val="21"/>
          <w:szCs w:val="21"/>
        </w:rPr>
        <w:t>« semi-fermé »</w:t>
      </w:r>
      <w:r w:rsidRPr="002D2FF6">
        <w:rPr>
          <w:rFonts w:ascii="Arial" w:hAnsi="Arial" w:cs="Arial"/>
          <w:sz w:val="21"/>
          <w:szCs w:val="21"/>
        </w:rPr>
        <w:t> (seul un organisme central peut écrire, mais l'accès en lecture est plus libre). Cela peut être utilisé pour les fonctions dévolues aux États (</w:t>
      </w:r>
      <w:hyperlink r:id="rId37" w:tooltip="Cadastre" w:history="1">
        <w:r w:rsidRPr="002D2FF6">
          <w:rPr>
            <w:rStyle w:val="Hyperlink"/>
            <w:rFonts w:ascii="Arial" w:hAnsi="Arial" w:cs="Arial"/>
            <w:color w:val="auto"/>
            <w:sz w:val="21"/>
            <w:szCs w:val="21"/>
            <w:u w:val="none"/>
          </w:rPr>
          <w:t>cadastres</w:t>
        </w:r>
      </w:hyperlink>
      <w:r w:rsidRPr="002D2FF6">
        <w:rPr>
          <w:rFonts w:ascii="Arial" w:hAnsi="Arial" w:cs="Arial"/>
          <w:sz w:val="21"/>
          <w:szCs w:val="21"/>
        </w:rPr>
        <w:t>…) ou aux institutions gérant une donnée sécurisée (traçabilité alimentaire…). Dans ce cas, les règles sont plus libres, l'organisme central ayant la main sur les aspects techniques de validation de la Blockchain.</w:t>
      </w:r>
    </w:p>
    <w:p w14:paraId="2C6FDDC0" w14:textId="2DE98F1C" w:rsidR="002D2FF6" w:rsidRPr="002D2FF6" w:rsidRDefault="002D2FF6" w:rsidP="002D2FF6">
      <w:pPr>
        <w:shd w:val="clear" w:color="auto" w:fill="FFFFFF"/>
        <w:spacing w:before="100" w:beforeAutospacing="1" w:after="24" w:line="240" w:lineRule="auto"/>
        <w:ind w:left="360"/>
        <w:jc w:val="both"/>
        <w:rPr>
          <w:rFonts w:ascii="Arial" w:hAnsi="Arial" w:cs="Arial"/>
          <w:sz w:val="21"/>
          <w:szCs w:val="21"/>
        </w:rPr>
      </w:pPr>
      <w:r w:rsidRPr="002D2FF6">
        <w:rPr>
          <w:rFonts w:ascii="Arial" w:hAnsi="Arial" w:cs="Arial"/>
          <w:sz w:val="21"/>
          <w:szCs w:val="21"/>
        </w:rPr>
        <w:t>Un</w:t>
      </w:r>
      <w:r w:rsidRPr="002D2FF6">
        <w:rPr>
          <w:rFonts w:ascii="Arial" w:hAnsi="Arial" w:cs="Arial"/>
          <w:sz w:val="21"/>
          <w:szCs w:val="21"/>
        </w:rPr>
        <w:t xml:space="preserve"> mode fermé (seul un organisme central peut écrire, personne ne peut lire sauf cet organisme). Dans ce cas, l'intérêt réside dans la robustesse théorique et la traçabilité du processus, qui n'a pas besoin d'être (ou ne doit pas être) public, mais qui a besoin de cette sécurité. À noter que dans ce cas, il reste vulnérable à une </w:t>
      </w:r>
      <w:hyperlink r:id="rId38" w:tooltip="Attaque des 51 %" w:history="1">
        <w:r w:rsidRPr="002D2FF6">
          <w:rPr>
            <w:rStyle w:val="Hyperlink"/>
            <w:rFonts w:ascii="Arial" w:hAnsi="Arial" w:cs="Arial"/>
            <w:color w:val="auto"/>
            <w:sz w:val="21"/>
            <w:szCs w:val="21"/>
            <w:u w:val="none"/>
          </w:rPr>
          <w:t>attaque des 51 %</w:t>
        </w:r>
      </w:hyperlink>
      <w:r w:rsidRPr="002D2FF6">
        <w:rPr>
          <w:rFonts w:ascii="Arial" w:hAnsi="Arial" w:cs="Arial"/>
          <w:sz w:val="21"/>
          <w:szCs w:val="21"/>
        </w:rPr>
        <w:t>, du fait de la non-décentralisation, et de la non-publication.</w:t>
      </w:r>
    </w:p>
    <w:p w14:paraId="5A9ACEF6" w14:textId="7423F737" w:rsidR="002D2FF6" w:rsidRPr="002D2FF6" w:rsidRDefault="002D2FF6" w:rsidP="002D2FF6">
      <w:pPr>
        <w:pStyle w:val="NormalWeb"/>
        <w:shd w:val="clear" w:color="auto" w:fill="FFFFFF"/>
        <w:spacing w:before="120" w:beforeAutospacing="0" w:after="120" w:afterAutospacing="0"/>
        <w:ind w:left="360"/>
        <w:jc w:val="both"/>
        <w:rPr>
          <w:rFonts w:ascii="Arial" w:hAnsi="Arial" w:cs="Arial"/>
          <w:sz w:val="21"/>
          <w:szCs w:val="21"/>
        </w:rPr>
      </w:pPr>
      <w:r w:rsidRPr="002D2FF6">
        <w:rPr>
          <w:rFonts w:ascii="Arial" w:hAnsi="Arial" w:cs="Arial"/>
          <w:sz w:val="21"/>
          <w:szCs w:val="21"/>
        </w:rPr>
        <w:t>Une gouvernance ouverte ne signifie pas pour autant une absence de gouvernance. Dans le cas du Bitcoin, qui représente 50 % de la totalité de la valeur des cryptomonnaies en circulation au </w:t>
      </w:r>
      <w:hyperlink r:id="rId39" w:tooltip="18 août" w:history="1">
        <w:r w:rsidRPr="002D2FF6">
          <w:rPr>
            <w:rStyle w:val="Hyperlink"/>
            <w:rFonts w:ascii="Arial" w:hAnsi="Arial" w:cs="Arial"/>
            <w:color w:val="auto"/>
            <w:sz w:val="21"/>
            <w:szCs w:val="21"/>
            <w:u w:val="none"/>
          </w:rPr>
          <w:t>18</w:t>
        </w:r>
      </w:hyperlink>
      <w:r w:rsidRPr="002D2FF6">
        <w:rPr>
          <w:rFonts w:ascii="Arial" w:hAnsi="Arial" w:cs="Arial"/>
          <w:sz w:val="21"/>
          <w:szCs w:val="21"/>
        </w:rPr>
        <w:t> </w:t>
      </w:r>
      <w:hyperlink r:id="rId40" w:tooltip="Août 2018" w:history="1">
        <w:r w:rsidRPr="002D2FF6">
          <w:rPr>
            <w:rStyle w:val="Hyperlink"/>
            <w:rFonts w:ascii="Arial" w:hAnsi="Arial" w:cs="Arial"/>
            <w:color w:val="auto"/>
            <w:sz w:val="21"/>
            <w:szCs w:val="21"/>
            <w:u w:val="none"/>
          </w:rPr>
          <w:t>août</w:t>
        </w:r>
      </w:hyperlink>
      <w:r w:rsidRPr="002D2FF6">
        <w:rPr>
          <w:rFonts w:ascii="Arial" w:hAnsi="Arial" w:cs="Arial"/>
          <w:sz w:val="21"/>
          <w:szCs w:val="21"/>
        </w:rPr>
        <w:t> </w:t>
      </w:r>
      <w:hyperlink r:id="rId41" w:tooltip="2018" w:history="1">
        <w:r w:rsidRPr="002D2FF6">
          <w:rPr>
            <w:rStyle w:val="Hyperlink"/>
            <w:rFonts w:ascii="Arial" w:hAnsi="Arial" w:cs="Arial"/>
            <w:color w:val="auto"/>
            <w:sz w:val="21"/>
            <w:szCs w:val="21"/>
            <w:u w:val="none"/>
          </w:rPr>
          <w:t>2018</w:t>
        </w:r>
      </w:hyperlink>
      <w:r w:rsidRPr="002D2FF6">
        <w:rPr>
          <w:rFonts w:ascii="Arial" w:hAnsi="Arial" w:cs="Arial"/>
          <w:sz w:val="21"/>
          <w:szCs w:val="21"/>
        </w:rPr>
        <w:t>, la gouvernance est assurée par la communauté, de manière décentralisée. La décentralisation est un apport majeur de la blockchain et par ricochet, des crypto-monnaies. Il y a un wiki (ouvert en 2010, qui contient plus de 1 500 pages au </w:t>
      </w:r>
      <w:hyperlink r:id="rId42" w:tooltip="18 août" w:history="1">
        <w:r w:rsidRPr="002D2FF6">
          <w:rPr>
            <w:rStyle w:val="Hyperlink"/>
            <w:rFonts w:ascii="Arial" w:hAnsi="Arial" w:cs="Arial"/>
            <w:color w:val="auto"/>
            <w:sz w:val="21"/>
            <w:szCs w:val="21"/>
            <w:u w:val="none"/>
          </w:rPr>
          <w:t>18</w:t>
        </w:r>
      </w:hyperlink>
      <w:r w:rsidRPr="002D2FF6">
        <w:rPr>
          <w:rFonts w:ascii="Arial" w:hAnsi="Arial" w:cs="Arial"/>
          <w:sz w:val="21"/>
          <w:szCs w:val="21"/>
        </w:rPr>
        <w:t> </w:t>
      </w:r>
      <w:hyperlink r:id="rId43" w:tooltip="Août 2018" w:history="1">
        <w:r w:rsidRPr="002D2FF6">
          <w:rPr>
            <w:rStyle w:val="Hyperlink"/>
            <w:rFonts w:ascii="Arial" w:hAnsi="Arial" w:cs="Arial"/>
            <w:color w:val="auto"/>
            <w:sz w:val="21"/>
            <w:szCs w:val="21"/>
            <w:u w:val="none"/>
          </w:rPr>
          <w:t>août</w:t>
        </w:r>
      </w:hyperlink>
      <w:r w:rsidRPr="002D2FF6">
        <w:rPr>
          <w:rFonts w:ascii="Arial" w:hAnsi="Arial" w:cs="Arial"/>
          <w:sz w:val="21"/>
          <w:szCs w:val="21"/>
        </w:rPr>
        <w:t> </w:t>
      </w:r>
      <w:hyperlink r:id="rId44" w:tooltip="2018" w:history="1">
        <w:r w:rsidRPr="002D2FF6">
          <w:rPr>
            <w:rStyle w:val="Hyperlink"/>
            <w:rFonts w:ascii="Arial" w:hAnsi="Arial" w:cs="Arial"/>
            <w:color w:val="auto"/>
            <w:sz w:val="21"/>
            <w:szCs w:val="21"/>
            <w:u w:val="none"/>
          </w:rPr>
          <w:t>2018</w:t>
        </w:r>
      </w:hyperlink>
      <w:r w:rsidRPr="002D2FF6">
        <w:rPr>
          <w:rFonts w:ascii="Arial" w:hAnsi="Arial" w:cs="Arial"/>
          <w:sz w:val="21"/>
          <w:szCs w:val="21"/>
        </w:rPr>
        <w:t>) des forums de discussion IRC consacrés à la gouvernance, à la technique, etc., et même un protocole d'urgence en cas de piratage ou de bug avéré. Bien sûr, ce qui est disponible pour le Bitcoin n'est pas forcément disponible ou applicable pour les autres cryptomonnaies, en particulier les plus récentes et/ou les plus confidentielles.</w:t>
      </w:r>
    </w:p>
    <w:p w14:paraId="7A50FA50" w14:textId="0F9FBF75" w:rsidR="002D2FF6" w:rsidRDefault="002D2FF6" w:rsidP="002D2FF6">
      <w:pPr>
        <w:rPr>
          <w:lang w:eastAsia="fr-CA"/>
        </w:rPr>
      </w:pPr>
    </w:p>
    <w:p w14:paraId="7E80B0A9" w14:textId="77777777" w:rsidR="002D2FF6" w:rsidRPr="002D2FF6" w:rsidRDefault="002D2FF6" w:rsidP="002D2FF6">
      <w:pPr>
        <w:rPr>
          <w:lang w:eastAsia="fr-CA"/>
        </w:rPr>
      </w:pPr>
    </w:p>
    <w:p w14:paraId="1911C6B0" w14:textId="77777777" w:rsidR="005249C2" w:rsidRPr="003453CD" w:rsidRDefault="005249C2" w:rsidP="005249C2">
      <w:pPr>
        <w:pStyle w:val="Heading3"/>
        <w:rPr>
          <w:lang w:eastAsia="fr-CA"/>
        </w:rPr>
      </w:pPr>
    </w:p>
    <w:p w14:paraId="3D5A3510" w14:textId="59FFFC2B" w:rsidR="00EE37FB" w:rsidRPr="003453CD" w:rsidRDefault="005249C2" w:rsidP="005249C2">
      <w:pPr>
        <w:pStyle w:val="Heading3"/>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shd w:val="clear" w:color="auto" w:fill="D0CECE" w:themeFill="background2" w:themeFillShade="E6"/>
        <w:jc w:val="center"/>
        <w:rPr>
          <w:sz w:val="28"/>
          <w:szCs w:val="28"/>
          <w:lang w:eastAsia="fr-CA"/>
        </w:rPr>
      </w:pPr>
      <w:bookmarkStart w:id="6" w:name="_Toc114438017"/>
      <w:r w:rsidRPr="003453CD">
        <w:rPr>
          <w:sz w:val="28"/>
          <w:szCs w:val="28"/>
          <w:lang w:eastAsia="fr-CA"/>
        </w:rPr>
        <w:t>Reference</w:t>
      </w:r>
      <w:bookmarkEnd w:id="6"/>
    </w:p>
    <w:p w14:paraId="4C79DA3B" w14:textId="79B5F6C0" w:rsidR="005249C2" w:rsidRPr="003453CD" w:rsidRDefault="005249C2" w:rsidP="005249C2">
      <w:pPr>
        <w:rPr>
          <w:lang w:eastAsia="fr-CA"/>
        </w:rPr>
      </w:pPr>
    </w:p>
    <w:p w14:paraId="54C8247A" w14:textId="3A91343F" w:rsidR="005249C2" w:rsidRPr="003453CD" w:rsidRDefault="00002C1E" w:rsidP="005249C2">
      <w:pPr>
        <w:rPr>
          <w:lang w:eastAsia="fr-CA"/>
        </w:rPr>
      </w:pPr>
      <w:r>
        <w:rPr>
          <w:lang w:eastAsia="fr-CA"/>
        </w:rPr>
        <w:t xml:space="preserve">L’intégralité du contenu de ce document provient </w:t>
      </w:r>
      <w:r w:rsidR="00866887">
        <w:rPr>
          <w:lang w:eastAsia="fr-CA"/>
        </w:rPr>
        <w:t>des sources suivantes</w:t>
      </w:r>
      <w:r w:rsidR="00705C5E">
        <w:rPr>
          <w:lang w:eastAsia="fr-CA"/>
        </w:rPr>
        <w:t> :</w:t>
      </w:r>
    </w:p>
    <w:sectPr w:rsidR="005249C2" w:rsidRPr="003453CD" w:rsidSect="00AA079C">
      <w:headerReference w:type="default" r:id="rId45"/>
      <w:footerReference w:type="default" r:id="rId46"/>
      <w:pgSz w:w="12240" w:h="15840"/>
      <w:pgMar w:top="1701" w:right="1701" w:bottom="1701" w:left="1701" w:header="709" w:footer="709" w:gutter="0"/>
      <w:pgBorders w:display="firstPage" w:offsetFrom="page">
        <w:top w:val="diamondsGray" w:sz="15" w:space="24" w:color="auto"/>
        <w:left w:val="diamondsGray" w:sz="15" w:space="24" w:color="auto"/>
        <w:bottom w:val="diamondsGray" w:sz="15" w:space="24" w:color="auto"/>
        <w:right w:val="diamondsGray" w:sz="15"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9C12B" w14:textId="77777777" w:rsidR="00A94464" w:rsidRDefault="00A94464" w:rsidP="008F0AA7">
      <w:pPr>
        <w:spacing w:after="0" w:line="240" w:lineRule="auto"/>
      </w:pPr>
      <w:r>
        <w:separator/>
      </w:r>
    </w:p>
  </w:endnote>
  <w:endnote w:type="continuationSeparator" w:id="0">
    <w:p w14:paraId="26654790" w14:textId="77777777" w:rsidR="00A94464" w:rsidRDefault="00A94464" w:rsidP="008F0AA7">
      <w:pPr>
        <w:spacing w:after="0" w:line="240" w:lineRule="auto"/>
      </w:pPr>
      <w:r>
        <w:continuationSeparator/>
      </w:r>
    </w:p>
  </w:endnote>
  <w:endnote w:id="1">
    <w:p w14:paraId="189E6372" w14:textId="0464846D" w:rsidR="00866887" w:rsidRDefault="00866887">
      <w:pPr>
        <w:pStyle w:val="EndnoteText"/>
      </w:pPr>
      <w:r>
        <w:rPr>
          <w:rStyle w:val="EndnoteReference"/>
        </w:rPr>
        <w:endnoteRef/>
      </w:r>
      <w:r>
        <w:t xml:space="preserve"> </w:t>
      </w:r>
      <w:hyperlink r:id="rId1" w:history="1">
        <w:r w:rsidRPr="00273E71">
          <w:rPr>
            <w:rStyle w:val="Hyperlink"/>
          </w:rPr>
          <w:t>https://en.bitcoinwiki.org/wiki/Blockchain#/media/File:Blockchain1.jpg</w:t>
        </w:r>
      </w:hyperlink>
    </w:p>
    <w:p w14:paraId="0BA51369" w14:textId="024B0146" w:rsidR="00866887" w:rsidRPr="00866887" w:rsidRDefault="00866887">
      <w:pPr>
        <w:pStyle w:val="EndnoteText"/>
      </w:pPr>
    </w:p>
  </w:endnote>
  <w:endnote w:id="2">
    <w:p w14:paraId="786E14FB" w14:textId="283F3A48" w:rsidR="003453CD" w:rsidRDefault="003453CD">
      <w:pPr>
        <w:pStyle w:val="EndnoteText"/>
      </w:pPr>
      <w:r>
        <w:rPr>
          <w:rStyle w:val="EndnoteReference"/>
        </w:rPr>
        <w:endnoteRef/>
      </w:r>
      <w:hyperlink r:id="rId2" w:history="1">
        <w:r w:rsidRPr="00273E71">
          <w:rPr>
            <w:rStyle w:val="Hyperlink"/>
          </w:rPr>
          <w:t>https://fr.wikipedia.org/wiki/Blockchain#Aspects</w:t>
        </w:r>
      </w:hyperlink>
    </w:p>
    <w:p w14:paraId="70E5D66C" w14:textId="0676036D" w:rsidR="003453CD" w:rsidRPr="003453CD" w:rsidRDefault="003453CD">
      <w:pPr>
        <w:pStyle w:val="EndnoteText"/>
      </w:pPr>
      <w:r>
        <w:t xml:space="preserve"> </w:t>
      </w:r>
    </w:p>
  </w:endnote>
  <w:endnote w:id="3">
    <w:p w14:paraId="453044F3" w14:textId="42BD7B48" w:rsidR="00DF2295" w:rsidRDefault="00DF2295">
      <w:pPr>
        <w:pStyle w:val="EndnoteText"/>
      </w:pPr>
      <w:r>
        <w:rPr>
          <w:rStyle w:val="EndnoteReference"/>
        </w:rPr>
        <w:endnoteRef/>
      </w:r>
      <w:r>
        <w:t xml:space="preserve"> </w:t>
      </w:r>
      <w:hyperlink r:id="rId3" w:history="1">
        <w:r w:rsidRPr="00273E71">
          <w:rPr>
            <w:rStyle w:val="Hyperlink"/>
          </w:rPr>
          <w:t>https://geekflare.com/wp-content/uploads/2021/10/blockchain1.png</w:t>
        </w:r>
      </w:hyperlink>
    </w:p>
    <w:p w14:paraId="14ABFCA6" w14:textId="77777777" w:rsidR="00DF2295" w:rsidRPr="00DF2295" w:rsidRDefault="00DF2295">
      <w:pPr>
        <w:pStyle w:val="EndnoteText"/>
      </w:pPr>
    </w:p>
  </w:endnote>
  <w:endnote w:id="4">
    <w:p w14:paraId="3D8FBA4C" w14:textId="45A490A7" w:rsidR="00002C1E" w:rsidRDefault="00002C1E">
      <w:pPr>
        <w:pStyle w:val="EndnoteText"/>
      </w:pPr>
      <w:r>
        <w:rPr>
          <w:rStyle w:val="EndnoteReference"/>
        </w:rPr>
        <w:endnoteRef/>
      </w:r>
      <w:r>
        <w:t xml:space="preserve"> </w:t>
      </w:r>
      <w:hyperlink r:id="rId4" w:history="1">
        <w:r w:rsidRPr="00273E71">
          <w:rPr>
            <w:rStyle w:val="Hyperlink"/>
          </w:rPr>
          <w:t>https://fr.wikipedia.org/wiki/Blockchain#Fiabilité</w:t>
        </w:r>
      </w:hyperlink>
    </w:p>
    <w:p w14:paraId="0CF802AF" w14:textId="77777777" w:rsidR="00002C1E" w:rsidRPr="00002C1E" w:rsidRDefault="00002C1E">
      <w:pPr>
        <w:pStyle w:val="EndnoteText"/>
      </w:pPr>
    </w:p>
  </w:endnote>
  <w:endnote w:id="5">
    <w:p w14:paraId="060CB0EC" w14:textId="5FF336FF" w:rsidR="002D2FF6" w:rsidRDefault="002D2FF6">
      <w:pPr>
        <w:pStyle w:val="EndnoteText"/>
      </w:pPr>
      <w:r>
        <w:rPr>
          <w:rStyle w:val="EndnoteReference"/>
        </w:rPr>
        <w:endnoteRef/>
      </w:r>
      <w:r>
        <w:t xml:space="preserve"> </w:t>
      </w:r>
      <w:hyperlink r:id="rId5" w:history="1">
        <w:r w:rsidRPr="00273E71">
          <w:rPr>
            <w:rStyle w:val="Hyperlink"/>
          </w:rPr>
          <w:t>https://fr.wikipedia.org/wiki/Blockchain#Gouvernance</w:t>
        </w:r>
      </w:hyperlink>
    </w:p>
    <w:p w14:paraId="447647BD" w14:textId="77777777" w:rsidR="002D2FF6" w:rsidRPr="002D2FF6" w:rsidRDefault="002D2FF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B889" w14:textId="0D47A5B0" w:rsidR="008F0AA7" w:rsidRPr="008F0AA7" w:rsidRDefault="008F0AA7" w:rsidP="008F0AA7">
    <w:pPr>
      <w:pStyle w:val="Footer"/>
      <w:pBdr>
        <w:bottom w:val="thinThickThinMediumGap" w:sz="24" w:space="1" w:color="auto"/>
      </w:pBdr>
      <w:rPr>
        <w:color w:val="2E74B5" w:themeColor="accent5" w:themeShade="BF"/>
      </w:rPr>
    </w:pPr>
    <w:r w:rsidRPr="008F0AA7">
      <w:rPr>
        <w:color w:val="2E74B5" w:themeColor="accent5" w:themeShade="BF"/>
      </w:rPr>
      <w:fldChar w:fldCharType="begin"/>
    </w:r>
    <w:r w:rsidRPr="008F0AA7">
      <w:rPr>
        <w:color w:val="2E74B5" w:themeColor="accent5" w:themeShade="BF"/>
      </w:rPr>
      <w:instrText xml:space="preserve"> FILENAME \* MERGEFORMAT </w:instrText>
    </w:r>
    <w:r w:rsidRPr="008F0AA7">
      <w:rPr>
        <w:color w:val="2E74B5" w:themeColor="accent5" w:themeShade="BF"/>
      </w:rPr>
      <w:fldChar w:fldCharType="separate"/>
    </w:r>
    <w:r w:rsidRPr="008F0AA7">
      <w:rPr>
        <w:noProof/>
        <w:color w:val="2E74B5" w:themeColor="accent5" w:themeShade="BF"/>
      </w:rPr>
      <w:t>TP1 .docx</w:t>
    </w:r>
    <w:r w:rsidRPr="008F0AA7">
      <w:rPr>
        <w:color w:val="2E74B5" w:themeColor="accent5" w:themeShade="BF"/>
      </w:rPr>
      <w:fldChar w:fldCharType="end"/>
    </w:r>
    <w:r w:rsidRPr="008F0AA7">
      <w:rPr>
        <w:color w:val="2E74B5" w:themeColor="accent5" w:themeShade="BF"/>
      </w:rPr>
      <w:tab/>
    </w:r>
    <w:r w:rsidRPr="008F0AA7">
      <w:rPr>
        <w:color w:val="2E74B5" w:themeColor="accent5" w:themeShade="BF"/>
      </w:rPr>
      <w:tab/>
      <w:t xml:space="preserve">Page </w:t>
    </w:r>
    <w:r w:rsidRPr="008F0AA7">
      <w:rPr>
        <w:color w:val="2E74B5" w:themeColor="accent5" w:themeShade="BF"/>
      </w:rPr>
      <w:fldChar w:fldCharType="begin"/>
    </w:r>
    <w:r w:rsidRPr="008F0AA7">
      <w:rPr>
        <w:color w:val="2E74B5" w:themeColor="accent5" w:themeShade="BF"/>
      </w:rPr>
      <w:instrText xml:space="preserve"> PAGE   \* MERGEFORMAT </w:instrText>
    </w:r>
    <w:r w:rsidRPr="008F0AA7">
      <w:rPr>
        <w:color w:val="2E74B5" w:themeColor="accent5" w:themeShade="BF"/>
      </w:rPr>
      <w:fldChar w:fldCharType="separate"/>
    </w:r>
    <w:r w:rsidRPr="008F0AA7">
      <w:rPr>
        <w:noProof/>
        <w:color w:val="2E74B5" w:themeColor="accent5" w:themeShade="BF"/>
      </w:rPr>
      <w:t>2</w:t>
    </w:r>
    <w:r w:rsidRPr="008F0AA7">
      <w:rPr>
        <w:color w:val="2E74B5" w:themeColor="accent5" w:themeShade="BF"/>
      </w:rPr>
      <w:fldChar w:fldCharType="end"/>
    </w:r>
    <w:r w:rsidRPr="008F0AA7">
      <w:rPr>
        <w:color w:val="2E74B5" w:themeColor="accent5" w:themeShade="BF"/>
      </w:rPr>
      <w:t>/</w:t>
    </w:r>
    <w:r w:rsidRPr="008F0AA7">
      <w:rPr>
        <w:color w:val="2E74B5" w:themeColor="accent5" w:themeShade="BF"/>
      </w:rPr>
      <w:fldChar w:fldCharType="begin"/>
    </w:r>
    <w:r w:rsidRPr="008F0AA7">
      <w:rPr>
        <w:color w:val="2E74B5" w:themeColor="accent5" w:themeShade="BF"/>
      </w:rPr>
      <w:instrText xml:space="preserve"> NUMPAGES   \* MERGEFORMAT </w:instrText>
    </w:r>
    <w:r w:rsidRPr="008F0AA7">
      <w:rPr>
        <w:color w:val="2E74B5" w:themeColor="accent5" w:themeShade="BF"/>
      </w:rPr>
      <w:fldChar w:fldCharType="separate"/>
    </w:r>
    <w:r w:rsidRPr="008F0AA7">
      <w:rPr>
        <w:noProof/>
        <w:color w:val="2E74B5" w:themeColor="accent5" w:themeShade="BF"/>
      </w:rPr>
      <w:t>4</w:t>
    </w:r>
    <w:r w:rsidRPr="008F0AA7">
      <w:rPr>
        <w:color w:val="2E74B5" w:themeColor="accent5"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57E8" w14:textId="77777777" w:rsidR="00A94464" w:rsidRDefault="00A94464" w:rsidP="008F0AA7">
      <w:pPr>
        <w:spacing w:after="0" w:line="240" w:lineRule="auto"/>
      </w:pPr>
      <w:r>
        <w:separator/>
      </w:r>
    </w:p>
  </w:footnote>
  <w:footnote w:type="continuationSeparator" w:id="0">
    <w:p w14:paraId="6AF47258" w14:textId="77777777" w:rsidR="00A94464" w:rsidRDefault="00A94464" w:rsidP="008F0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E83B" w14:textId="7AE150DC" w:rsidR="008F0AA7" w:rsidRPr="008F0AA7" w:rsidRDefault="008F0AA7" w:rsidP="008F0AA7">
    <w:pPr>
      <w:pStyle w:val="Header"/>
      <w:pBdr>
        <w:top w:val="thinThickThinMediumGap" w:sz="24" w:space="1" w:color="auto"/>
      </w:pBdr>
      <w:rPr>
        <w:color w:val="2E74B5" w:themeColor="accent5" w:themeShade="BF"/>
      </w:rPr>
    </w:pPr>
    <w:r w:rsidRPr="008F0AA7">
      <w:rPr>
        <w:color w:val="2E74B5" w:themeColor="accent5" w:themeShade="BF"/>
      </w:rPr>
      <w:t>Daigneault Cédric</w:t>
    </w:r>
    <w:r w:rsidRPr="008F0AA7">
      <w:rPr>
        <w:color w:val="2E74B5" w:themeColor="accent5" w:themeShade="BF"/>
      </w:rPr>
      <w:tab/>
    </w:r>
    <w:r w:rsidRPr="008F0AA7">
      <w:rPr>
        <w:color w:val="2E74B5" w:themeColor="accent5" w:themeShade="BF"/>
      </w:rPr>
      <w:tab/>
      <w:t>2022-09-12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502"/>
    <w:multiLevelType w:val="hybridMultilevel"/>
    <w:tmpl w:val="08921250"/>
    <w:lvl w:ilvl="0" w:tplc="0C0C0013">
      <w:start w:val="1"/>
      <w:numFmt w:val="upperRoman"/>
      <w:lvlText w:val="%1."/>
      <w:lvlJc w:val="righ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4287A4E"/>
    <w:multiLevelType w:val="hybridMultilevel"/>
    <w:tmpl w:val="AAE6CD6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A4A1505"/>
    <w:multiLevelType w:val="hybridMultilevel"/>
    <w:tmpl w:val="4E685A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2E03F06"/>
    <w:multiLevelType w:val="hybridMultilevel"/>
    <w:tmpl w:val="060A0598"/>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5F7FAF"/>
    <w:multiLevelType w:val="multilevel"/>
    <w:tmpl w:val="821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623588">
    <w:abstractNumId w:val="2"/>
  </w:num>
  <w:num w:numId="2" w16cid:durableId="415591681">
    <w:abstractNumId w:val="3"/>
  </w:num>
  <w:num w:numId="3" w16cid:durableId="1494417997">
    <w:abstractNumId w:val="4"/>
  </w:num>
  <w:num w:numId="4" w16cid:durableId="304893690">
    <w:abstractNumId w:val="1"/>
  </w:num>
  <w:num w:numId="5" w16cid:durableId="47704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37"/>
    <w:rsid w:val="00002C1E"/>
    <w:rsid w:val="000A504D"/>
    <w:rsid w:val="0011337D"/>
    <w:rsid w:val="002D2FF6"/>
    <w:rsid w:val="003453CD"/>
    <w:rsid w:val="003B38CF"/>
    <w:rsid w:val="004F1D38"/>
    <w:rsid w:val="005249C2"/>
    <w:rsid w:val="005F607C"/>
    <w:rsid w:val="00701605"/>
    <w:rsid w:val="00705C5E"/>
    <w:rsid w:val="00866887"/>
    <w:rsid w:val="008F0AA7"/>
    <w:rsid w:val="00A94464"/>
    <w:rsid w:val="00AA079C"/>
    <w:rsid w:val="00DF2295"/>
    <w:rsid w:val="00EE37FB"/>
    <w:rsid w:val="00FA784E"/>
    <w:rsid w:val="00FF5C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B445D"/>
  <w15:chartTrackingRefBased/>
  <w15:docId w15:val="{6B9ADB7C-B743-4BB5-9AA5-6A6DFB85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8F0AA7"/>
    <w:pPr>
      <w:pBdr>
        <w:top w:val="thinThickThinMediumGap" w:sz="24" w:space="1" w:color="4472C4" w:themeColor="accent1" w:shadow="1"/>
        <w:left w:val="thinThickThinMediumGap" w:sz="24" w:space="4" w:color="4472C4" w:themeColor="accent1" w:shadow="1"/>
        <w:bottom w:val="thinThickThinMediumGap" w:sz="24" w:space="1" w:color="4472C4" w:themeColor="accent1" w:shadow="1"/>
        <w:right w:val="thinThickThinMediumGap" w:sz="24" w:space="4" w:color="4472C4" w:themeColor="accent1" w:shadow="1"/>
      </w:pBdr>
      <w:shd w:val="clear" w:color="auto" w:fill="FFFFFF"/>
      <w:spacing w:before="0" w:beforeAutospacing="0" w:after="225" w:afterAutospacing="0"/>
      <w:jc w:val="center"/>
      <w:outlineLvl w:val="0"/>
    </w:pPr>
    <w:rPr>
      <w:rFonts w:ascii="Algerian" w:hAnsi="Algerian" w:cs="Open Sans"/>
      <w:b/>
      <w:bCs/>
      <w:color w:val="000000"/>
      <w:sz w:val="40"/>
      <w:szCs w:val="40"/>
      <w:lang w:val="en-CA"/>
    </w:rPr>
  </w:style>
  <w:style w:type="paragraph" w:styleId="Heading2">
    <w:name w:val="heading 2"/>
    <w:basedOn w:val="NormalWeb"/>
    <w:next w:val="Normal"/>
    <w:link w:val="Heading2Char"/>
    <w:uiPriority w:val="9"/>
    <w:unhideWhenUsed/>
    <w:qFormat/>
    <w:rsid w:val="00EE37FB"/>
    <w:pPr>
      <w:pBdr>
        <w:top w:val="double" w:sz="12" w:space="1" w:color="B4C6E7" w:themeColor="accent1" w:themeTint="66"/>
        <w:left w:val="double" w:sz="12" w:space="4" w:color="B4C6E7" w:themeColor="accent1" w:themeTint="66"/>
        <w:bottom w:val="double" w:sz="12" w:space="1" w:color="B4C6E7" w:themeColor="accent1" w:themeTint="66"/>
        <w:right w:val="double" w:sz="12" w:space="4" w:color="B4C6E7" w:themeColor="accent1" w:themeTint="66"/>
      </w:pBdr>
      <w:shd w:val="clear" w:color="auto" w:fill="D0CECE" w:themeFill="background2" w:themeFillShade="E6"/>
      <w:spacing w:before="0" w:beforeAutospacing="0" w:after="225" w:afterAutospacing="0"/>
      <w:jc w:val="center"/>
      <w:outlineLvl w:val="1"/>
    </w:pPr>
    <w:rPr>
      <w:rFonts w:ascii="Open Sans" w:hAnsi="Open Sans" w:cs="Open Sans"/>
      <w:color w:val="000000"/>
      <w:sz w:val="32"/>
      <w:szCs w:val="32"/>
    </w:rPr>
  </w:style>
  <w:style w:type="paragraph" w:styleId="Heading3">
    <w:name w:val="heading 3"/>
    <w:basedOn w:val="Normal"/>
    <w:next w:val="Normal"/>
    <w:link w:val="Heading3Char"/>
    <w:uiPriority w:val="9"/>
    <w:unhideWhenUsed/>
    <w:qFormat/>
    <w:rsid w:val="005249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A7"/>
    <w:rPr>
      <w:rFonts w:ascii="Algerian" w:eastAsia="Times New Roman" w:hAnsi="Algerian" w:cs="Open Sans"/>
      <w:b/>
      <w:bCs/>
      <w:color w:val="000000"/>
      <w:sz w:val="40"/>
      <w:szCs w:val="40"/>
      <w:shd w:val="clear" w:color="auto" w:fill="FFFFFF"/>
      <w:lang w:val="en-CA" w:eastAsia="fr-CA"/>
    </w:rPr>
  </w:style>
  <w:style w:type="paragraph" w:styleId="TOCHeading">
    <w:name w:val="TOC Heading"/>
    <w:basedOn w:val="Heading1"/>
    <w:next w:val="Normal"/>
    <w:uiPriority w:val="39"/>
    <w:unhideWhenUsed/>
    <w:qFormat/>
    <w:rsid w:val="000A504D"/>
    <w:pPr>
      <w:outlineLvl w:val="9"/>
    </w:pPr>
  </w:style>
  <w:style w:type="paragraph" w:styleId="NormalWeb">
    <w:name w:val="Normal (Web)"/>
    <w:basedOn w:val="Normal"/>
    <w:uiPriority w:val="99"/>
    <w:unhideWhenUsed/>
    <w:rsid w:val="000A504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Header">
    <w:name w:val="header"/>
    <w:basedOn w:val="Normal"/>
    <w:link w:val="HeaderChar"/>
    <w:uiPriority w:val="99"/>
    <w:unhideWhenUsed/>
    <w:rsid w:val="008F0AA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0AA7"/>
  </w:style>
  <w:style w:type="paragraph" w:styleId="Footer">
    <w:name w:val="footer"/>
    <w:basedOn w:val="Normal"/>
    <w:link w:val="FooterChar"/>
    <w:uiPriority w:val="99"/>
    <w:unhideWhenUsed/>
    <w:rsid w:val="008F0A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0AA7"/>
  </w:style>
  <w:style w:type="paragraph" w:styleId="TOC1">
    <w:name w:val="toc 1"/>
    <w:basedOn w:val="Normal"/>
    <w:next w:val="Normal"/>
    <w:autoRedefine/>
    <w:uiPriority w:val="39"/>
    <w:unhideWhenUsed/>
    <w:rsid w:val="008F0AA7"/>
    <w:pPr>
      <w:spacing w:after="100"/>
    </w:pPr>
  </w:style>
  <w:style w:type="character" w:styleId="Hyperlink">
    <w:name w:val="Hyperlink"/>
    <w:basedOn w:val="DefaultParagraphFont"/>
    <w:uiPriority w:val="99"/>
    <w:unhideWhenUsed/>
    <w:rsid w:val="008F0AA7"/>
    <w:rPr>
      <w:color w:val="0563C1" w:themeColor="hyperlink"/>
      <w:u w:val="single"/>
    </w:rPr>
  </w:style>
  <w:style w:type="character" w:customStyle="1" w:styleId="Heading2Char">
    <w:name w:val="Heading 2 Char"/>
    <w:basedOn w:val="DefaultParagraphFont"/>
    <w:link w:val="Heading2"/>
    <w:uiPriority w:val="9"/>
    <w:rsid w:val="00EE37FB"/>
    <w:rPr>
      <w:rFonts w:ascii="Open Sans" w:eastAsia="Times New Roman" w:hAnsi="Open Sans" w:cs="Open Sans"/>
      <w:color w:val="000000"/>
      <w:sz w:val="32"/>
      <w:szCs w:val="32"/>
      <w:shd w:val="clear" w:color="auto" w:fill="D0CECE" w:themeFill="background2" w:themeFillShade="E6"/>
      <w:lang w:eastAsia="fr-CA"/>
    </w:rPr>
  </w:style>
  <w:style w:type="paragraph" w:styleId="TOC2">
    <w:name w:val="toc 2"/>
    <w:basedOn w:val="Normal"/>
    <w:next w:val="Normal"/>
    <w:autoRedefine/>
    <w:uiPriority w:val="39"/>
    <w:unhideWhenUsed/>
    <w:rsid w:val="00EE37FB"/>
    <w:pPr>
      <w:spacing w:after="100"/>
      <w:ind w:left="220"/>
    </w:pPr>
  </w:style>
  <w:style w:type="paragraph" w:styleId="EndnoteText">
    <w:name w:val="endnote text"/>
    <w:basedOn w:val="Normal"/>
    <w:link w:val="EndnoteTextChar"/>
    <w:uiPriority w:val="99"/>
    <w:semiHidden/>
    <w:unhideWhenUsed/>
    <w:rsid w:val="00EE37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37FB"/>
    <w:rPr>
      <w:sz w:val="20"/>
      <w:szCs w:val="20"/>
    </w:rPr>
  </w:style>
  <w:style w:type="character" w:styleId="EndnoteReference">
    <w:name w:val="endnote reference"/>
    <w:basedOn w:val="DefaultParagraphFont"/>
    <w:uiPriority w:val="99"/>
    <w:semiHidden/>
    <w:unhideWhenUsed/>
    <w:rsid w:val="00EE37FB"/>
    <w:rPr>
      <w:vertAlign w:val="superscript"/>
    </w:rPr>
  </w:style>
  <w:style w:type="character" w:customStyle="1" w:styleId="Heading3Char">
    <w:name w:val="Heading 3 Char"/>
    <w:basedOn w:val="DefaultParagraphFont"/>
    <w:link w:val="Heading3"/>
    <w:uiPriority w:val="9"/>
    <w:rsid w:val="005249C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249C2"/>
    <w:pPr>
      <w:spacing w:after="100"/>
      <w:ind w:left="440"/>
    </w:pPr>
  </w:style>
  <w:style w:type="character" w:customStyle="1" w:styleId="citation">
    <w:name w:val="citation"/>
    <w:basedOn w:val="DefaultParagraphFont"/>
    <w:rsid w:val="003453CD"/>
  </w:style>
  <w:style w:type="character" w:customStyle="1" w:styleId="lang-en">
    <w:name w:val="lang-en"/>
    <w:basedOn w:val="DefaultParagraphFont"/>
    <w:rsid w:val="003453CD"/>
  </w:style>
  <w:style w:type="character" w:styleId="UnresolvedMention">
    <w:name w:val="Unresolved Mention"/>
    <w:basedOn w:val="DefaultParagraphFont"/>
    <w:uiPriority w:val="99"/>
    <w:semiHidden/>
    <w:unhideWhenUsed/>
    <w:rsid w:val="003453CD"/>
    <w:rPr>
      <w:color w:val="605E5C"/>
      <w:shd w:val="clear" w:color="auto" w:fill="E1DFDD"/>
    </w:rPr>
  </w:style>
  <w:style w:type="character" w:customStyle="1" w:styleId="needref">
    <w:name w:val="need_ref"/>
    <w:basedOn w:val="DefaultParagraphFont"/>
    <w:rsid w:val="0034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0678">
      <w:bodyDiv w:val="1"/>
      <w:marLeft w:val="0"/>
      <w:marRight w:val="0"/>
      <w:marTop w:val="0"/>
      <w:marBottom w:val="0"/>
      <w:divBdr>
        <w:top w:val="none" w:sz="0" w:space="0" w:color="auto"/>
        <w:left w:val="none" w:sz="0" w:space="0" w:color="auto"/>
        <w:bottom w:val="none" w:sz="0" w:space="0" w:color="auto"/>
        <w:right w:val="none" w:sz="0" w:space="0" w:color="auto"/>
      </w:divBdr>
    </w:div>
    <w:div w:id="496729017">
      <w:bodyDiv w:val="1"/>
      <w:marLeft w:val="0"/>
      <w:marRight w:val="0"/>
      <w:marTop w:val="0"/>
      <w:marBottom w:val="0"/>
      <w:divBdr>
        <w:top w:val="none" w:sz="0" w:space="0" w:color="auto"/>
        <w:left w:val="none" w:sz="0" w:space="0" w:color="auto"/>
        <w:bottom w:val="none" w:sz="0" w:space="0" w:color="auto"/>
        <w:right w:val="none" w:sz="0" w:space="0" w:color="auto"/>
      </w:divBdr>
    </w:div>
    <w:div w:id="1636520736">
      <w:bodyDiv w:val="1"/>
      <w:marLeft w:val="0"/>
      <w:marRight w:val="0"/>
      <w:marTop w:val="0"/>
      <w:marBottom w:val="0"/>
      <w:divBdr>
        <w:top w:val="none" w:sz="0" w:space="0" w:color="auto"/>
        <w:left w:val="none" w:sz="0" w:space="0" w:color="auto"/>
        <w:bottom w:val="none" w:sz="0" w:space="0" w:color="auto"/>
        <w:right w:val="none" w:sz="0" w:space="0" w:color="auto"/>
      </w:divBdr>
    </w:div>
    <w:div w:id="1757555244">
      <w:bodyDiv w:val="1"/>
      <w:marLeft w:val="0"/>
      <w:marRight w:val="0"/>
      <w:marTop w:val="0"/>
      <w:marBottom w:val="0"/>
      <w:divBdr>
        <w:top w:val="none" w:sz="0" w:space="0" w:color="auto"/>
        <w:left w:val="none" w:sz="0" w:space="0" w:color="auto"/>
        <w:bottom w:val="none" w:sz="0" w:space="0" w:color="auto"/>
        <w:right w:val="none" w:sz="0" w:space="0" w:color="auto"/>
      </w:divBdr>
    </w:div>
    <w:div w:id="19839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ryptomonnaie" TargetMode="External"/><Relationship Id="rId18" Type="http://schemas.openxmlformats.org/officeDocument/2006/relationships/hyperlink" Target="https://fr.wikipedia.org/wiki/Blockchain" TargetMode="External"/><Relationship Id="rId26" Type="http://schemas.openxmlformats.org/officeDocument/2006/relationships/hyperlink" Target="https://fr.wikipedia.org/wiki/Diligence_raisonnable" TargetMode="External"/><Relationship Id="rId39" Type="http://schemas.openxmlformats.org/officeDocument/2006/relationships/hyperlink" Target="https://fr.wikipedia.org/wiki/18_ao%C3%BBt" TargetMode="External"/><Relationship Id="rId21" Type="http://schemas.openxmlformats.org/officeDocument/2006/relationships/hyperlink" Target="https://fr.wikipedia.org/wiki/Minage_de_cryptomonnaie" TargetMode="External"/><Relationship Id="rId34" Type="http://schemas.openxmlformats.org/officeDocument/2006/relationships/hyperlink" Target="https://fr.wikipedia.org/wiki/Recherche_exhaustive" TargetMode="External"/><Relationship Id="rId42" Type="http://schemas.openxmlformats.org/officeDocument/2006/relationships/hyperlink" Target="https://fr.wikipedia.org/wiki/18_ao%C3%BBt"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r.wikipedia.org/wiki/D%C3%A9sinformation" TargetMode="External"/><Relationship Id="rId29" Type="http://schemas.openxmlformats.org/officeDocument/2006/relationships/hyperlink" Target="https://fr.wikipedia.org/wiki/Minage_de_cryptomonnai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fr.wikipedia.org/wiki/Fraude" TargetMode="External"/><Relationship Id="rId32" Type="http://schemas.openxmlformats.org/officeDocument/2006/relationships/hyperlink" Target="https://fr.wikipedia.org/wiki/FLOPS" TargetMode="External"/><Relationship Id="rId37" Type="http://schemas.openxmlformats.org/officeDocument/2006/relationships/hyperlink" Target="https://fr.wikipedia.org/wiki/Cadastre" TargetMode="External"/><Relationship Id="rId40" Type="http://schemas.openxmlformats.org/officeDocument/2006/relationships/hyperlink" Target="https://fr.wikipedia.org/wiki/Ao%C3%BBt_2018"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r.wikipedia.org/wiki/Crise_bancaire_et_financi%C3%A8re_de_l%27automne_2008" TargetMode="External"/><Relationship Id="rId23" Type="http://schemas.openxmlformats.org/officeDocument/2006/relationships/hyperlink" Target="https://fr.wikipedia.org/wiki/Portefeuille_de_crypto-monnaie" TargetMode="External"/><Relationship Id="rId28" Type="http://schemas.openxmlformats.org/officeDocument/2006/relationships/hyperlink" Target="https://fr.wikipedia.org/wiki/Probl%C3%A8me_des_g%C3%A9n%C3%A9raux_byzantins" TargetMode="External"/><Relationship Id="rId36" Type="http://schemas.openxmlformats.org/officeDocument/2006/relationships/hyperlink" Target="https://fr.wikipedia.org/wiki/Code_source" TargetMode="External"/><Relationship Id="rId10" Type="http://schemas.openxmlformats.org/officeDocument/2006/relationships/endnotes" Target="endnotes.xml"/><Relationship Id="rId19" Type="http://schemas.openxmlformats.org/officeDocument/2006/relationships/hyperlink" Target="https://fr.wikipedia.org/wiki/%C3%89tats-Unis" TargetMode="External"/><Relationship Id="rId31" Type="http://schemas.openxmlformats.org/officeDocument/2006/relationships/hyperlink" Target="https://fr.wikipedia.org/wiki/Cryptographie" TargetMode="External"/><Relationship Id="rId44" Type="http://schemas.openxmlformats.org/officeDocument/2006/relationships/hyperlink" Target="https://fr.wikipedia.org/wiki/20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wikipedia.org/wiki/Blockchain" TargetMode="External"/><Relationship Id="rId22" Type="http://schemas.openxmlformats.org/officeDocument/2006/relationships/hyperlink" Target="https://fr.wikipedia.org/wiki/Audit_financier" TargetMode="External"/><Relationship Id="rId27" Type="http://schemas.openxmlformats.org/officeDocument/2006/relationships/image" Target="media/image2.png"/><Relationship Id="rId30" Type="http://schemas.openxmlformats.org/officeDocument/2006/relationships/hyperlink" Target="https://fr.wikipedia.org/wiki/Preuve_de_travail" TargetMode="External"/><Relationship Id="rId35" Type="http://schemas.openxmlformats.org/officeDocument/2006/relationships/hyperlink" Target="https://fr.wikipedia.org/wiki/Loi" TargetMode="External"/><Relationship Id="rId43" Type="http://schemas.openxmlformats.org/officeDocument/2006/relationships/hyperlink" Target="https://fr.wikipedia.org/wiki/Ao%C3%BBt_2018"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fr.wikipedia.org/wiki/Monnaie_virtuelle" TargetMode="External"/><Relationship Id="rId17" Type="http://schemas.openxmlformats.org/officeDocument/2006/relationships/hyperlink" Target="https://fr.wikipedia.org/wiki/Publicit%C3%A9_mensong%C3%A8re" TargetMode="External"/><Relationship Id="rId25" Type="http://schemas.openxmlformats.org/officeDocument/2006/relationships/hyperlink" Target="https://fr.wikipedia.org/wiki/Scepticisme_scientifique" TargetMode="External"/><Relationship Id="rId33" Type="http://schemas.openxmlformats.org/officeDocument/2006/relationships/hyperlink" Target="https://fr.wikipedia.org/wiki/Bitcoin" TargetMode="External"/><Relationship Id="rId38" Type="http://schemas.openxmlformats.org/officeDocument/2006/relationships/hyperlink" Target="https://fr.wikipedia.org/wiki/Attaque_des_51_%25" TargetMode="External"/><Relationship Id="rId46" Type="http://schemas.openxmlformats.org/officeDocument/2006/relationships/footer" Target="footer1.xml"/><Relationship Id="rId20" Type="http://schemas.openxmlformats.org/officeDocument/2006/relationships/hyperlink" Target="https://fr.wikipedia.org/wiki/Securities_and_Exchange_Commission" TargetMode="External"/><Relationship Id="rId41" Type="http://schemas.openxmlformats.org/officeDocument/2006/relationships/hyperlink" Target="https://fr.wikipedia.org/wiki/2018"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geekflare.com/wp-content/uploads/2021/10/blockchain1.png" TargetMode="External"/><Relationship Id="rId2" Type="http://schemas.openxmlformats.org/officeDocument/2006/relationships/hyperlink" Target="https://fr.wikipedia.org/wiki/Blockchain#Aspects" TargetMode="External"/><Relationship Id="rId1" Type="http://schemas.openxmlformats.org/officeDocument/2006/relationships/hyperlink" Target="https://en.bitcoinwiki.org/wiki/Blockchain#/media/File:Blockchain1.jpg" TargetMode="External"/><Relationship Id="rId5" Type="http://schemas.openxmlformats.org/officeDocument/2006/relationships/hyperlink" Target="https://fr.wikipedia.org/wiki/Blockchain#Gouvernance" TargetMode="External"/><Relationship Id="rId4" Type="http://schemas.openxmlformats.org/officeDocument/2006/relationships/hyperlink" Target="https://fr.wikipedia.org/wiki/Blockchain#Fiabilit&#23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3208CF-0A2A-4384-9B10-EB5D69FB250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8E4EFE1A4804189E888618E7748E2" ma:contentTypeVersion="3" ma:contentTypeDescription="Crée un document." ma:contentTypeScope="" ma:versionID="0d2aaf47693f60dad2076bfaed947bf6">
  <xsd:schema xmlns:xsd="http://www.w3.org/2001/XMLSchema" xmlns:xs="http://www.w3.org/2001/XMLSchema" xmlns:p="http://schemas.microsoft.com/office/2006/metadata/properties" xmlns:ns3="a53a6a28-b02b-4b13-a449-eed5baf096a7" targetNamespace="http://schemas.microsoft.com/office/2006/metadata/properties" ma:root="true" ma:fieldsID="e6d859c614a2b719a4ecc85a32a5a321" ns3:_="">
    <xsd:import namespace="a53a6a28-b02b-4b13-a449-eed5baf096a7"/>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a6a28-b02b-4b13-a449-eed5baf096a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B4D863-962A-43CE-B3D2-266F7C3DE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a6a28-b02b-4b13-a449-eed5baf09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61F0C7-1970-44E8-8B0A-C42DAE5DAC3A}">
  <ds:schemaRefs>
    <ds:schemaRef ds:uri="http://schemas.openxmlformats.org/officeDocument/2006/bibliography"/>
  </ds:schemaRefs>
</ds:datastoreItem>
</file>

<file path=customXml/itemProps3.xml><?xml version="1.0" encoding="utf-8"?>
<ds:datastoreItem xmlns:ds="http://schemas.openxmlformats.org/officeDocument/2006/customXml" ds:itemID="{594777AC-EB60-4374-981E-28D1A0BA10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E5377-32E4-4D24-A2B0-2732907AFE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4709</TotalTime>
  <Pages>6</Pages>
  <Words>1909</Words>
  <Characters>10502</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Daigneault Cédric</dc:creator>
  <cp:keywords/>
  <dc:description/>
  <cp:lastModifiedBy>Cédric Daigneault</cp:lastModifiedBy>
  <cp:revision>12</cp:revision>
  <dcterms:created xsi:type="dcterms:W3CDTF">2022-09-12T17:48:00Z</dcterms:created>
  <dcterms:modified xsi:type="dcterms:W3CDTF">2022-09-19T03:59:00Z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0x0101005788E4EFE1A4804189E888618E7748E2</vt:lpwstr>
  </property>
</Properties>
</file>