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线性霍尔传感器高精度位置检测与补偿方法"/>
    <w:p>
      <w:pPr>
        <w:pStyle w:val="Heading1"/>
      </w:pPr>
      <w:r>
        <w:rPr>
          <w:rFonts w:hint="eastAsia"/>
        </w:rPr>
        <w:t xml:space="preserve">线性霍尔传感器高精度位置检测与补偿方法</w:t>
      </w:r>
    </w:p>
    <w:p>
      <w:pPr>
        <w:pStyle w:val="FirstParagraph"/>
      </w:pPr>
      <w:r>
        <w:rPr>
          <w:rFonts w:hint="eastAsia"/>
        </w:rPr>
        <w:t xml:space="preserve">本章基于当前文件夹中三篇近五年论文进行方法归纳：</w:t>
      </w:r>
    </w:p>
    <w:p>
      <w:pPr>
        <w:pStyle w:val="Compact"/>
        <w:numPr>
          <w:ilvl w:val="0"/>
          <w:numId w:val="1001"/>
        </w:numPr>
      </w:pPr>
      <w:r>
        <w:rPr>
          <w:rStyle w:val="VerbatimChar"/>
        </w:rPr>
        <w:t xml:space="preserve">02_Self_Calibrating_Position_Measurements_Imperfect_Hall_Sensors_2025.pdf</w:t>
      </w:r>
    </w:p>
    <w:p>
      <w:pPr>
        <w:pStyle w:val="Compact"/>
        <w:numPr>
          <w:ilvl w:val="0"/>
          <w:numId w:val="1001"/>
        </w:numPr>
      </w:pPr>
      <w:r>
        <w:rPr>
          <w:rStyle w:val="VerbatimChar"/>
        </w:rPr>
        <w:t xml:space="preserve">03_TIE2021_Position_Extraction_Ultralow_Speed_Gimbal_Linear_Hall.pdf</w:t>
      </w:r>
    </w:p>
    <w:p>
      <w:pPr>
        <w:pStyle w:val="Compact"/>
        <w:numPr>
          <w:ilvl w:val="0"/>
          <w:numId w:val="1001"/>
        </w:numPr>
      </w:pPr>
      <w:r>
        <w:rPr>
          <w:rStyle w:val="VerbatimChar"/>
        </w:rPr>
        <w:t xml:space="preserve">04_TMECH2022_3D_Printed_Halbach_Cylinder_Motor_Self_Position_Sensing.pdf</w:t>
      </w:r>
    </w:p>
    <w:p>
      <w:pPr>
        <w:pStyle w:val="FirstParagraph"/>
      </w:pPr>
      <w:r>
        <w:rPr>
          <w:rFonts w:hint="eastAsia"/>
        </w:rPr>
        <w:t xml:space="preserve">三篇文章分别代表三类思路：数据驱动自校准、复合信号提取与观测器补偿、传感与电机结构一体化设计。考虑到项目成本、PCB</w:t>
      </w:r>
      <w:r>
        <w:t xml:space="preserve"> </w:t>
      </w:r>
      <w:r>
        <w:rPr>
          <w:rFonts w:hint="eastAsia"/>
        </w:rPr>
        <w:t xml:space="preserve">面积、线束数量和装配复杂度，本章后续工程方案统一限定为“每个旋转轴使用两颗线性霍尔传感器”。两路信号目标是形成近似正交的正弦/余弦关系，再通过标定和补偿提高位置检测精度。将三类思路结合后，可以形成适用于手持相机云台的“两路线性霍尔</w:t>
      </w:r>
      <w:r>
        <w:t xml:space="preserve"> + </w:t>
      </w:r>
      <w:r>
        <w:rPr>
          <w:rFonts w:hint="eastAsia"/>
        </w:rPr>
        <w:t xml:space="preserve">高精度位置检测</w:t>
      </w:r>
      <w:r>
        <w:t xml:space="preserve"> + </w:t>
      </w:r>
      <w:r>
        <w:rPr>
          <w:rFonts w:hint="eastAsia"/>
        </w:rPr>
        <w:t xml:space="preserve">误差补偿</w:t>
      </w:r>
      <w:r>
        <w:t xml:space="preserve"> + </w:t>
      </w:r>
      <w:r>
        <w:rPr>
          <w:rFonts w:hint="eastAsia"/>
        </w:rPr>
        <w:t xml:space="preserve">闭环控制”的完整技术路线。</w:t>
      </w:r>
    </w:p>
    <w:p>
      <w:pPr>
        <w:pStyle w:val="BodyText"/>
      </w:pPr>
      <w:r>
        <w:rPr>
          <w:rFonts w:hint="eastAsia"/>
        </w:rPr>
        <w:t xml:space="preserve">本章中的公式用于工程方案表达和后续仿真实现，并非逐字复刻论文推导。符号约定如下：</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tcMar>
              <w:top w:w="90" w:type="dxa"/>
              <w:start w:w="120" w:type="dxa"/>
              <w:bottom w:w="90" w:type="dxa"/>
              <w:end w:w="120" w:type="dxa"/>
            </w:tcMar>
            <w:shd w:fill="FFFFFF"/>
            <w:tcBorders>
              <w:top w:val="single" w:sz="14" w:color="000000" w:space="0"/>
              <w:start w:val="nil"/>
              <w:bottom w:val="single" w:sz="9" w:color="000000" w:space="0"/>
              <w:end w:val="nil"/>
            </w:tcBorders>
          </w:tcPr>
          <w:p>
            <w:pPr>
              <w:pStyle w:val="Compact"/>
              <w:spacing w:after="0" w:line="252" w:lineRule="auto"/>
              <w:jc w:val="center"/>
            </w:pPr>
            <w:r>
              <w:rPr>
                <w:rFonts w:hint="eastAsia" w:ascii="黑体" w:hAnsi="黑体" w:eastAsia="黑体"/>
                <w:b/>
                <w:color w:val="000000"/>
                <w:sz w:val="19"/>
              </w:rPr>
              <w:t xml:space="preserve">符号</w:t>
            </w:r>
          </w:p>
        </w:tc>
        <w:tc>
          <w:tcPr>
            <w:vAlign w:val="center"/>
            <w:tcMar>
              <w:top w:w="90" w:type="dxa"/>
              <w:start w:w="120" w:type="dxa"/>
              <w:bottom w:w="90" w:type="dxa"/>
              <w:end w:w="120" w:type="dxa"/>
            </w:tcMar>
            <w:shd w:fill="FFFFFF"/>
            <w:tcBorders>
              <w:top w:val="single" w:sz="14" w:color="000000" w:space="0"/>
              <w:start w:val="nil"/>
              <w:bottom w:val="single" w:sz="9" w:color="000000" w:space="0"/>
              <w:end w:val="nil"/>
            </w:tcBorders>
          </w:tcPr>
          <w:p>
            <w:pPr>
              <w:pStyle w:val="Compact"/>
              <w:spacing w:after="0" w:line="252" w:lineRule="auto"/>
              <w:jc w:val="center"/>
            </w:pPr>
            <w:r>
              <w:rPr>
                <w:rFonts w:hint="eastAsia" w:ascii="黑体" w:hAnsi="黑体" w:eastAsia="黑体"/>
                <w:b/>
                <w:color w:val="000000"/>
                <w:sz w:val="19"/>
              </w:rPr>
              <w:t xml:space="preserve">含义</w:t>
            </w:r>
          </w:p>
        </w:tc>
      </w:tr>
      <w:tr>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Style w:val="VerbatimChar"/>
                <w:rFonts w:ascii="宋体" w:hAnsi="宋体" w:eastAsia="宋体"/>
                <w:b w:val="0"/>
                <w:color w:val="111827"/>
                <w:sz w:val="18"/>
              </w:rPr>
              <w:t xml:space="preserve">theta</w:t>
            </w:r>
          </w:p>
        </w:tc>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Fonts w:hint="eastAsia" w:ascii="宋体" w:hAnsi="宋体" w:eastAsia="宋体"/>
                <w:b w:val="0"/>
                <w:color w:val="111827"/>
                <w:sz w:val="18"/>
              </w:rPr>
              <w:t xml:space="preserve">机械角或待估计轴角</w:t>
            </w:r>
          </w:p>
        </w:tc>
      </w:tr>
      <w:tr>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Style w:val="VerbatimChar"/>
                <w:rFonts w:ascii="宋体" w:hAnsi="宋体" w:eastAsia="宋体"/>
                <w:b w:val="0"/>
                <w:color w:val="111827"/>
                <w:sz w:val="18"/>
              </w:rPr>
              <w:t xml:space="preserve">theta_e</w:t>
            </w:r>
          </w:p>
        </w:tc>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Fonts w:hint="eastAsia" w:ascii="宋体" w:hAnsi="宋体" w:eastAsia="宋体"/>
                <w:b w:val="0"/>
                <w:color w:val="111827"/>
                <w:sz w:val="18"/>
              </w:rPr>
              <w:t xml:space="preserve">电角度</w:t>
            </w:r>
          </w:p>
        </w:tc>
      </w:tr>
      <w:tr>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Style w:val="VerbatimChar"/>
                <w:rFonts w:ascii="宋体" w:hAnsi="宋体" w:eastAsia="宋体"/>
                <w:b w:val="0"/>
                <w:color w:val="111827"/>
                <w:sz w:val="18"/>
              </w:rPr>
              <w:t xml:space="preserve">d_h</w:t>
            </w:r>
          </w:p>
        </w:tc>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Fonts w:hint="eastAsia" w:ascii="宋体" w:hAnsi="宋体" w:eastAsia="宋体"/>
                <w:b w:val="0"/>
                <w:color w:val="111827"/>
                <w:sz w:val="18"/>
              </w:rPr>
              <w:t xml:space="preserve">第</w:t>
            </w:r>
            <w:r>
              <w:rPr>
                <w:rFonts w:ascii="宋体" w:hAnsi="宋体" w:eastAsia="宋体"/>
                <w:b w:val="0"/>
                <w:color w:val="111827"/>
                <w:sz w:val="18"/>
              </w:rPr>
              <w:t xml:space="preserve"> h </w:t>
            </w:r>
            <w:r>
              <w:rPr>
                <w:rFonts w:hint="eastAsia" w:ascii="宋体" w:hAnsi="宋体" w:eastAsia="宋体"/>
                <w:b w:val="0"/>
                <w:color w:val="111827"/>
                <w:sz w:val="18"/>
              </w:rPr>
              <w:t xml:space="preserve">路</w:t>
            </w:r>
            <w:r>
              <w:rPr>
                <w:rFonts w:ascii="宋体" w:hAnsi="宋体" w:eastAsia="宋体"/>
                <w:b w:val="0"/>
                <w:color w:val="111827"/>
                <w:sz w:val="18"/>
              </w:rPr>
              <w:t xml:space="preserve"> Hall </w:t>
            </w:r>
            <w:r>
              <w:rPr>
                <w:rFonts w:hint="eastAsia" w:ascii="宋体" w:hAnsi="宋体" w:eastAsia="宋体"/>
                <w:b w:val="0"/>
                <w:color w:val="111827"/>
                <w:sz w:val="18"/>
              </w:rPr>
              <w:t xml:space="preserve">原始测量信号</w:t>
            </w:r>
          </w:p>
        </w:tc>
      </w:tr>
      <w:tr>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Style w:val="VerbatimChar"/>
                <w:rFonts w:ascii="宋体" w:hAnsi="宋体" w:eastAsia="宋体"/>
                <w:b w:val="0"/>
                <w:color w:val="111827"/>
                <w:sz w:val="18"/>
              </w:rPr>
              <w:t xml:space="preserve">d_s,d_c</w:t>
            </w:r>
          </w:p>
        </w:tc>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Fonts w:hint="eastAsia" w:ascii="宋体" w:hAnsi="宋体" w:eastAsia="宋体"/>
                <w:b w:val="0"/>
                <w:color w:val="111827"/>
                <w:sz w:val="18"/>
              </w:rPr>
              <w:t xml:space="preserve">由两路</w:t>
            </w:r>
            <w:r>
              <w:rPr>
                <w:rFonts w:ascii="宋体" w:hAnsi="宋体" w:eastAsia="宋体"/>
                <w:b w:val="0"/>
                <w:color w:val="111827"/>
                <w:sz w:val="18"/>
              </w:rPr>
              <w:t xml:space="preserve"> Hall </w:t>
            </w:r>
            <w:r>
              <w:rPr>
                <w:rFonts w:hint="eastAsia" w:ascii="宋体" w:hAnsi="宋体" w:eastAsia="宋体"/>
                <w:b w:val="0"/>
                <w:color w:val="111827"/>
                <w:sz w:val="18"/>
              </w:rPr>
              <w:t xml:space="preserve">构造的正弦、余弦通道</w:t>
            </w:r>
          </w:p>
        </w:tc>
      </w:tr>
      <w:tr>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Style w:val="VerbatimChar"/>
                <w:rFonts w:ascii="宋体" w:hAnsi="宋体" w:eastAsia="宋体"/>
                <w:b w:val="0"/>
                <w:color w:val="111827"/>
                <w:sz w:val="18"/>
              </w:rPr>
              <w:t xml:space="preserve">V_h</w:t>
            </w:r>
          </w:p>
        </w:tc>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Fonts w:hint="eastAsia" w:ascii="宋体" w:hAnsi="宋体" w:eastAsia="宋体"/>
                <w:b w:val="0"/>
                <w:color w:val="111827"/>
                <w:sz w:val="18"/>
              </w:rPr>
              <w:t xml:space="preserve">第</w:t>
            </w:r>
            <w:r>
              <w:rPr>
                <w:rFonts w:ascii="宋体" w:hAnsi="宋体" w:eastAsia="宋体"/>
                <w:b w:val="0"/>
                <w:color w:val="111827"/>
                <w:sz w:val="18"/>
              </w:rPr>
              <w:t xml:space="preserve"> h </w:t>
            </w:r>
            <w:r>
              <w:rPr>
                <w:rFonts w:hint="eastAsia" w:ascii="宋体" w:hAnsi="宋体" w:eastAsia="宋体"/>
                <w:b w:val="0"/>
                <w:color w:val="111827"/>
                <w:sz w:val="18"/>
              </w:rPr>
              <w:t xml:space="preserve">路</w:t>
            </w:r>
            <w:r>
              <w:rPr>
                <w:rFonts w:ascii="宋体" w:hAnsi="宋体" w:eastAsia="宋体"/>
                <w:b w:val="0"/>
                <w:color w:val="111827"/>
                <w:sz w:val="18"/>
              </w:rPr>
              <w:t xml:space="preserve"> Hall </w:t>
            </w:r>
            <w:r>
              <w:rPr>
                <w:rFonts w:hint="eastAsia" w:ascii="宋体" w:hAnsi="宋体" w:eastAsia="宋体"/>
                <w:b w:val="0"/>
                <w:color w:val="111827"/>
                <w:sz w:val="18"/>
              </w:rPr>
              <w:t xml:space="preserve">电压</w:t>
            </w:r>
          </w:p>
        </w:tc>
      </w:tr>
      <w:tr>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Style w:val="VerbatimChar"/>
                <w:rFonts w:ascii="宋体" w:hAnsi="宋体" w:eastAsia="宋体"/>
                <w:b w:val="0"/>
                <w:color w:val="111827"/>
                <w:sz w:val="18"/>
              </w:rPr>
              <w:t xml:space="preserve">B_h</w:t>
            </w:r>
          </w:p>
        </w:tc>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Fonts w:hint="eastAsia" w:ascii="宋体" w:hAnsi="宋体" w:eastAsia="宋体"/>
                <w:b w:val="0"/>
                <w:color w:val="111827"/>
                <w:sz w:val="18"/>
              </w:rPr>
              <w:t xml:space="preserve">第</w:t>
            </w:r>
            <w:r>
              <w:rPr>
                <w:rFonts w:ascii="宋体" w:hAnsi="宋体" w:eastAsia="宋体"/>
                <w:b w:val="0"/>
                <w:color w:val="111827"/>
                <w:sz w:val="18"/>
              </w:rPr>
              <w:t xml:space="preserve"> h </w:t>
            </w:r>
            <w:r>
              <w:rPr>
                <w:rFonts w:hint="eastAsia" w:ascii="宋体" w:hAnsi="宋体" w:eastAsia="宋体"/>
                <w:b w:val="0"/>
                <w:color w:val="111827"/>
                <w:sz w:val="18"/>
              </w:rPr>
              <w:t xml:space="preserve">路</w:t>
            </w:r>
            <w:r>
              <w:rPr>
                <w:rFonts w:ascii="宋体" w:hAnsi="宋体" w:eastAsia="宋体"/>
                <w:b w:val="0"/>
                <w:color w:val="111827"/>
                <w:sz w:val="18"/>
              </w:rPr>
              <w:t xml:space="preserve"> Hall </w:t>
            </w:r>
            <w:r>
              <w:rPr>
                <w:rFonts w:hint="eastAsia" w:ascii="宋体" w:hAnsi="宋体" w:eastAsia="宋体"/>
                <w:b w:val="0"/>
                <w:color w:val="111827"/>
                <w:sz w:val="18"/>
              </w:rPr>
              <w:t xml:space="preserve">位置处磁感应强度</w:t>
            </w:r>
          </w:p>
        </w:tc>
      </w:tr>
      <w:tr>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Style w:val="VerbatimChar"/>
                <w:rFonts w:ascii="宋体" w:hAnsi="宋体" w:eastAsia="宋体"/>
                <w:b w:val="0"/>
                <w:color w:val="111827"/>
                <w:sz w:val="18"/>
              </w:rPr>
              <w:t xml:space="preserve">n_m</w:t>
            </w:r>
          </w:p>
        </w:tc>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Fonts w:hint="eastAsia" w:ascii="宋体" w:hAnsi="宋体" w:eastAsia="宋体"/>
                <w:b w:val="0"/>
                <w:color w:val="111827"/>
                <w:sz w:val="18"/>
              </w:rPr>
              <w:t xml:space="preserve">磁极对数或磁场周期数</w:t>
            </w:r>
          </w:p>
        </w:tc>
      </w:tr>
      <w:tr>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Style w:val="VerbatimChar"/>
                <w:rFonts w:ascii="宋体" w:hAnsi="宋体" w:eastAsia="宋体"/>
                <w:b w:val="0"/>
                <w:color w:val="111827"/>
                <w:sz w:val="18"/>
              </w:rPr>
              <w:t xml:space="preserve">v_h</w:t>
            </w:r>
          </w:p>
        </w:tc>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Fonts w:ascii="宋体" w:hAnsi="宋体" w:eastAsia="宋体"/>
                <w:b w:val="0"/>
                <w:color w:val="111827"/>
                <w:sz w:val="18"/>
              </w:rPr>
              <w:t xml:space="preserve">Hall </w:t>
            </w:r>
            <w:r>
              <w:rPr>
                <w:rFonts w:hint="eastAsia" w:ascii="宋体" w:hAnsi="宋体" w:eastAsia="宋体"/>
                <w:b w:val="0"/>
                <w:color w:val="111827"/>
                <w:sz w:val="18"/>
              </w:rPr>
              <w:t xml:space="preserve">测量噪声</w:t>
            </w:r>
          </w:p>
        </w:tc>
      </w:tr>
      <w:tr>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Style w:val="VerbatimChar"/>
                <w:rFonts w:ascii="宋体" w:hAnsi="宋体" w:eastAsia="宋体"/>
                <w:b w:val="0"/>
                <w:color w:val="111827"/>
                <w:sz w:val="18"/>
              </w:rPr>
              <w:t xml:space="preserve">e(theta)</w:t>
            </w:r>
          </w:p>
        </w:tc>
        <w:tc>
          <w:tcPr>
            <w:vAlign w:val="center"/>
            <w:tcMar>
              <w:top w:w="90" w:type="dxa"/>
              <w:start w:w="120" w:type="dxa"/>
              <w:bottom w:w="90" w:type="dxa"/>
              <w:end w:w="120" w:type="dxa"/>
            </w:tcMar>
            <w:shd w:fill="FFFFFF"/>
            <w:tcBorders>
              <w:top w:val="nil"/>
              <w:start w:val="nil"/>
              <w:bottom w:val="nil"/>
              <w:end w:val="nil"/>
            </w:tcBorders>
          </w:tcPr>
          <w:p>
            <w:pPr>
              <w:pStyle w:val="Compact"/>
              <w:spacing w:after="0" w:line="252" w:lineRule="auto"/>
              <w:jc w:val="left"/>
            </w:pPr>
            <w:r>
              <w:rPr>
                <w:rFonts w:hint="eastAsia" w:ascii="宋体" w:hAnsi="宋体" w:eastAsia="宋体"/>
                <w:b w:val="0"/>
                <w:color w:val="111827"/>
                <w:sz w:val="18"/>
              </w:rPr>
              <w:t xml:space="preserve">角度相关的周期性误差</w:t>
            </w:r>
          </w:p>
        </w:tc>
      </w:tr>
      <w:tr>
        <w:tc>
          <w:tcPr>
            <w:vAlign w:val="center"/>
            <w:tcMar>
              <w:top w:w="90" w:type="dxa"/>
              <w:start w:w="120" w:type="dxa"/>
              <w:bottom w:w="90" w:type="dxa"/>
              <w:end w:w="120" w:type="dxa"/>
            </w:tcMar>
            <w:shd w:fill="FFFFFF"/>
            <w:tcBorders>
              <w:top w:val="nil"/>
              <w:start w:val="nil"/>
              <w:bottom w:val="single" w:sz="14" w:color="000000" w:space="0"/>
              <w:end w:val="nil"/>
            </w:tcBorders>
          </w:tcPr>
          <w:p>
            <w:pPr>
              <w:pStyle w:val="Compact"/>
              <w:spacing w:after="0" w:line="252" w:lineRule="auto"/>
              <w:jc w:val="left"/>
            </w:pPr>
            <w:r>
              <w:rPr>
                <w:rStyle w:val="VerbatimChar"/>
                <w:rFonts w:ascii="宋体" w:hAnsi="宋体" w:eastAsia="宋体"/>
                <w:b w:val="0"/>
                <w:color w:val="111827"/>
                <w:sz w:val="18"/>
              </w:rPr>
              <w:t xml:space="preserve">hat</w:t>
            </w:r>
          </w:p>
        </w:tc>
        <w:tc>
          <w:tcPr>
            <w:vAlign w:val="center"/>
            <w:tcMar>
              <w:top w:w="90" w:type="dxa"/>
              <w:start w:w="120" w:type="dxa"/>
              <w:bottom w:w="90" w:type="dxa"/>
              <w:end w:w="120" w:type="dxa"/>
            </w:tcMar>
            <w:shd w:fill="FFFFFF"/>
            <w:tcBorders>
              <w:top w:val="nil"/>
              <w:start w:val="nil"/>
              <w:bottom w:val="single" w:sz="14" w:color="000000" w:space="0"/>
              <w:end w:val="nil"/>
            </w:tcBorders>
          </w:tcPr>
          <w:p>
            <w:pPr>
              <w:pStyle w:val="Compact"/>
              <w:spacing w:after="0" w:line="252" w:lineRule="auto"/>
              <w:jc w:val="left"/>
            </w:pPr>
            <w:r>
              <w:rPr>
                <w:rFonts w:hint="eastAsia" w:ascii="宋体" w:hAnsi="宋体" w:eastAsia="宋体"/>
                <w:b w:val="0"/>
                <w:color w:val="111827"/>
                <w:sz w:val="18"/>
              </w:rPr>
              <w:t xml:space="preserve">估计量或补偿后的量</w:t>
            </w:r>
          </w:p>
        </w:tc>
      </w:tr>
    </w:tbl>
    <w:bookmarkStart w:id="18" w:name="方法一闭环自校准与数据驱动补偿方法"/>
    <w:p>
      <w:pPr>
        <w:pStyle w:val="Heading2"/>
      </w:pPr>
      <w:r>
        <w:t xml:space="preserve">1. </w:t>
      </w:r>
      <w:r>
        <w:rPr>
          <w:rFonts w:hint="eastAsia"/>
        </w:rPr>
        <w:t xml:space="preserve">方法一：闭环自校准与数据驱动补偿方法</w:t>
      </w:r>
    </w:p>
    <w:p>
      <w:pPr>
        <w:pStyle w:val="FirstParagraph"/>
      </w:pPr>
      <w:r>
        <w:rPr>
          <w:rFonts w:hint="eastAsia"/>
        </w:rPr>
        <w:t xml:space="preserve">对应论文：</w:t>
      </w:r>
      <w:r>
        <w:rPr>
          <w:rStyle w:val="VerbatimChar"/>
        </w:rPr>
        <w:t xml:space="preserve">Self-Calibrating Position Measurements: Applied to Imperfect Hall Sensors</w:t>
      </w:r>
    </w:p>
    <w:bookmarkStart w:id="9" w:name="方法背景"/>
    <w:p>
      <w:pPr>
        <w:pStyle w:val="Heading3"/>
      </w:pPr>
      <w:r>
        <w:t xml:space="preserve">1.1 </w:t>
      </w:r>
      <w:r>
        <w:rPr>
          <w:rFonts w:hint="eastAsia"/>
        </w:rPr>
        <w:t xml:space="preserve">方法背景</w:t>
      </w:r>
    </w:p>
    <w:p>
      <w:pPr>
        <w:pStyle w:val="FirstParagraph"/>
      </w:pPr>
      <w:r>
        <w:rPr>
          <w:rFonts w:hint="eastAsia"/>
        </w:rPr>
        <w:t xml:space="preserve">线性霍尔传感器可以替代高成本光电编码器，用于电机或执行器转子位置检测。但实际</w:t>
      </w:r>
      <w:r>
        <w:t xml:space="preserve"> Hall </w:t>
      </w:r>
      <w:r>
        <w:rPr>
          <w:rFonts w:hint="eastAsia"/>
        </w:rPr>
        <w:t xml:space="preserve">信号并非理想正弦信号，主要误差来自：</w:t>
      </w:r>
    </w:p>
    <w:p>
      <w:pPr>
        <w:pStyle w:val="Compact"/>
        <w:numPr>
          <w:ilvl w:val="0"/>
          <w:numId w:val="1002"/>
        </w:numPr>
      </w:pPr>
      <w:r>
        <w:rPr>
          <w:rFonts w:hint="eastAsia"/>
        </w:rPr>
        <w:t xml:space="preserve">磁钢充磁不均匀；</w:t>
      </w:r>
    </w:p>
    <w:p>
      <w:pPr>
        <w:pStyle w:val="Compact"/>
        <w:numPr>
          <w:ilvl w:val="0"/>
          <w:numId w:val="1002"/>
        </w:numPr>
      </w:pPr>
      <w:r>
        <w:rPr>
          <w:rFonts w:hint="eastAsia"/>
        </w:rPr>
        <w:t xml:space="preserve">传感器安装偏差；</w:t>
      </w:r>
    </w:p>
    <w:p>
      <w:pPr>
        <w:pStyle w:val="Compact"/>
        <w:numPr>
          <w:ilvl w:val="0"/>
          <w:numId w:val="1002"/>
        </w:numPr>
      </w:pPr>
      <w:r>
        <w:rPr>
          <w:rFonts w:hint="eastAsia"/>
        </w:rPr>
        <w:t xml:space="preserve">制造公差；</w:t>
      </w:r>
    </w:p>
    <w:p>
      <w:pPr>
        <w:pStyle w:val="Compact"/>
        <w:numPr>
          <w:ilvl w:val="0"/>
          <w:numId w:val="1002"/>
        </w:numPr>
      </w:pPr>
      <w:r>
        <w:rPr>
          <w:rFonts w:hint="eastAsia"/>
        </w:rPr>
        <w:t xml:space="preserve">气隙变化；</w:t>
      </w:r>
    </w:p>
    <w:p>
      <w:pPr>
        <w:pStyle w:val="Compact"/>
        <w:numPr>
          <w:ilvl w:val="0"/>
          <w:numId w:val="1002"/>
        </w:numPr>
      </w:pPr>
      <w:r>
        <w:rPr>
          <w:rFonts w:hint="eastAsia"/>
        </w:rPr>
        <w:t xml:space="preserve">多极磁场周期性误差；</w:t>
      </w:r>
    </w:p>
    <w:p>
      <w:pPr>
        <w:pStyle w:val="Compact"/>
        <w:numPr>
          <w:ilvl w:val="0"/>
          <w:numId w:val="1002"/>
        </w:numPr>
      </w:pPr>
      <w:r>
        <w:rPr>
          <w:rFonts w:hint="eastAsia"/>
        </w:rPr>
        <w:t xml:space="preserve">高次谐波和非线性磁场分布。</w:t>
      </w:r>
    </w:p>
    <w:p>
      <w:pPr>
        <w:pStyle w:val="FirstParagraph"/>
      </w:pPr>
      <w:r>
        <w:rPr>
          <w:rFonts w:hint="eastAsia"/>
        </w:rPr>
        <w:t xml:space="preserve">这些误差会使</w:t>
      </w:r>
      <w:r>
        <w:t xml:space="preserve"> Hall </w:t>
      </w:r>
      <w:r>
        <w:rPr>
          <w:rFonts w:hint="eastAsia"/>
        </w:rPr>
        <w:t xml:space="preserve">信号到真实位置之间的映射关系不再理想，直接用</w:t>
      </w:r>
      <w:r>
        <w:t xml:space="preserve"> </w:t>
      </w:r>
      <w:r>
        <w:rPr>
          <w:rStyle w:val="VerbatimChar"/>
        </w:rPr>
        <w:t xml:space="preserve">atan2</w:t>
      </w:r>
      <w:r>
        <w:t xml:space="preserve"> </w:t>
      </w:r>
      <w:r>
        <w:rPr>
          <w:rFonts w:hint="eastAsia"/>
        </w:rPr>
        <w:t xml:space="preserve">解角会产生周期性位置误差，进而导致闭环控制中的速度波动、转矩波动和寄生振动。</w:t>
      </w:r>
    </w:p>
    <w:bookmarkEnd w:id="9"/>
    <w:bookmarkStart w:id="10" w:name="核心思想"/>
    <w:p>
      <w:pPr>
        <w:pStyle w:val="Heading3"/>
      </w:pPr>
      <w:r>
        <w:t xml:space="preserve">1.2 </w:t>
      </w:r>
      <w:r>
        <w:rPr>
          <w:rFonts w:hint="eastAsia"/>
        </w:rPr>
        <w:t xml:space="preserve">核心思想</w:t>
      </w:r>
    </w:p>
    <w:p>
      <w:pPr>
        <w:pStyle w:val="FirstParagraph"/>
      </w:pPr>
      <w:r>
        <w:rPr>
          <w:rFonts w:hint="eastAsia"/>
        </w:rPr>
        <w:t xml:space="preserve">该方法不依赖昂贵外部编码器，而是利用电机闭环运行数据进行自校准。其核心是：</w:t>
      </w:r>
    </w:p>
    <w:p>
      <w:pPr>
        <w:pStyle w:val="Compact"/>
        <w:numPr>
          <w:ilvl w:val="0"/>
          <w:numId w:val="1003"/>
        </w:numPr>
      </w:pPr>
      <w:r>
        <w:rPr>
          <w:rFonts w:hint="eastAsia"/>
        </w:rPr>
        <w:t xml:space="preserve">通过</w:t>
      </w:r>
      <w:r>
        <w:t xml:space="preserve"> Hall </w:t>
      </w:r>
      <w:r>
        <w:rPr>
          <w:rFonts w:hint="eastAsia"/>
        </w:rPr>
        <w:t xml:space="preserve">原始信号得到一个粗略位置估计；</w:t>
      </w:r>
    </w:p>
    <w:p>
      <w:pPr>
        <w:pStyle w:val="Compact"/>
        <w:numPr>
          <w:ilvl w:val="0"/>
          <w:numId w:val="1003"/>
        </w:numPr>
      </w:pPr>
      <w:r>
        <w:rPr>
          <w:rFonts w:hint="eastAsia"/>
        </w:rPr>
        <w:t xml:space="preserve">在闭环控制下采集</w:t>
      </w:r>
      <w:r>
        <w:t xml:space="preserve"> Hall </w:t>
      </w:r>
      <w:r>
        <w:rPr>
          <w:rFonts w:hint="eastAsia"/>
        </w:rPr>
        <w:t xml:space="preserve">信号和控制输入；</w:t>
      </w:r>
    </w:p>
    <w:p>
      <w:pPr>
        <w:pStyle w:val="Compact"/>
        <w:numPr>
          <w:ilvl w:val="0"/>
          <w:numId w:val="1003"/>
        </w:numPr>
      </w:pPr>
      <w:r>
        <w:rPr>
          <w:rFonts w:hint="eastAsia"/>
        </w:rPr>
        <w:t xml:space="preserve">建立“转子位置</w:t>
      </w:r>
      <w:r>
        <w:t xml:space="preserve"> - Hall </w:t>
      </w:r>
      <w:r>
        <w:rPr>
          <w:rFonts w:hint="eastAsia"/>
        </w:rPr>
        <w:t xml:space="preserve">磁通密度信号”的非线性模型；</w:t>
      </w:r>
    </w:p>
    <w:p>
      <w:pPr>
        <w:pStyle w:val="Compact"/>
        <w:numPr>
          <w:ilvl w:val="0"/>
          <w:numId w:val="1003"/>
        </w:numPr>
      </w:pPr>
      <w:r>
        <w:rPr>
          <w:rFonts w:hint="eastAsia"/>
        </w:rPr>
        <w:t xml:space="preserve">通过非线性辨识或仿真误差最小化识别</w:t>
      </w:r>
      <w:r>
        <w:t xml:space="preserve"> Hall </w:t>
      </w:r>
      <w:r>
        <w:rPr>
          <w:rFonts w:hint="eastAsia"/>
        </w:rPr>
        <w:t xml:space="preserve">误差模型；</w:t>
      </w:r>
    </w:p>
    <w:p>
      <w:pPr>
        <w:pStyle w:val="Compact"/>
        <w:numPr>
          <w:ilvl w:val="0"/>
          <w:numId w:val="1003"/>
        </w:numPr>
      </w:pPr>
      <w:r>
        <w:rPr>
          <w:rFonts w:hint="eastAsia"/>
        </w:rPr>
        <w:t xml:space="preserve">在线运行时用该模型反向补偿</w:t>
      </w:r>
      <w:r>
        <w:t xml:space="preserve"> Hall </w:t>
      </w:r>
      <w:r>
        <w:rPr>
          <w:rFonts w:hint="eastAsia"/>
        </w:rPr>
        <w:t xml:space="preserve">测量误差。</w:t>
      </w:r>
    </w:p>
    <w:p>
      <w:pPr>
        <w:pStyle w:val="FirstParagraph"/>
      </w:pPr>
      <w:r>
        <w:rPr>
          <w:rFonts w:hint="eastAsia"/>
        </w:rPr>
        <w:t xml:space="preserve">论文中采用三路线性</w:t>
      </w:r>
      <w:r>
        <w:t xml:space="preserve"> Hall </w:t>
      </w:r>
      <w:r>
        <w:rPr>
          <w:rFonts w:hint="eastAsia"/>
        </w:rPr>
        <w:t xml:space="preserve">传感器，约相差</w:t>
      </w:r>
      <w:r>
        <w:t xml:space="preserve"> 120 deg </w:t>
      </w:r>
      <w:r>
        <w:rPr>
          <w:rFonts w:hint="eastAsia"/>
        </w:rPr>
        <w:t xml:space="preserve">电角度。对本项目而言，为降低成本和装配复杂度，不采用三路冗余结构，而是采用两路线性</w:t>
      </w:r>
      <w:r>
        <w:t xml:space="preserve"> </w:t>
      </w:r>
      <w:r>
        <w:rPr>
          <w:rFonts w:hint="eastAsia"/>
        </w:rPr>
        <w:t xml:space="preserve">Hall，安装目标为相差</w:t>
      </w:r>
      <w:r>
        <w:t xml:space="preserve"> 90 deg </w:t>
      </w:r>
      <w:r>
        <w:rPr>
          <w:rFonts w:hint="eastAsia"/>
        </w:rPr>
        <w:t xml:space="preserve">电角度。两路信号先经过零偏、幅值和相位校正，构造正弦/余弦通道，再利用</w:t>
      </w:r>
      <w:r>
        <w:t xml:space="preserve"> </w:t>
      </w:r>
      <w:r>
        <w:rPr>
          <w:rStyle w:val="VerbatimChar"/>
        </w:rPr>
        <w:t xml:space="preserve">atan2</w:t>
      </w:r>
      <w:r>
        <w:t xml:space="preserve"> </w:t>
      </w:r>
      <w:r>
        <w:rPr>
          <w:rFonts w:hint="eastAsia"/>
        </w:rPr>
        <w:t xml:space="preserve">得到初始角度。随后仍可沿用论文的闭环自校准思想，利用运行数据识别更准确的磁场/误差函数。这样牺牲部分硬件冗余，但能保留主要补偿收益。</w:t>
      </w:r>
    </w:p>
    <w:bookmarkEnd w:id="10"/>
    <w:bookmarkStart w:id="11" w:name="核心公式"/>
    <w:p>
      <w:pPr>
        <w:pStyle w:val="Heading3"/>
      </w:pPr>
      <w:r>
        <w:t xml:space="preserve">1.3 </w:t>
      </w:r>
      <w:r>
        <w:rPr>
          <w:rFonts w:hint="eastAsia"/>
        </w:rPr>
        <w:t xml:space="preserve">核心公式</w:t>
      </w:r>
    </w:p>
    <w:p>
      <w:pPr>
        <w:pStyle w:val="FirstParagraph"/>
      </w:pPr>
      <w:r>
        <w:t xml:space="preserve">Hall </w:t>
      </w:r>
      <w:r>
        <w:rPr>
          <w:rFonts w:hint="eastAsia"/>
        </w:rPr>
        <w:t xml:space="preserve">原始测量可以抽象为转子位置的周期性非线性函数：</w:t>
      </w:r>
    </w:p>
    <w:p>
      <w:pPr>
        <w:pStyle w:val="BodyText"/>
      </w:pPr>
      <m:oMathPara>
        <m:oMathParaPr>
          <m:jc m:val="center"/>
        </m:oMathParaPr>
        <m:oMath>
          <m:sSub>
            <m:e>
              <m:r>
                <m:t>d</m:t>
              </m:r>
            </m:e>
            <m:sub>
              <m:r>
                <m:t>h</m:t>
              </m:r>
            </m:sub>
          </m:sSub>
          <m:r>
            <m:rPr>
              <m:sty m:val="p"/>
            </m:rPr>
            <m:t>(</m:t>
          </m:r>
          <m:r>
            <m:t>k</m:t>
          </m:r>
          <m:r>
            <m:rPr>
              <m:sty m:val="p"/>
            </m:rPr>
            <m:t>)</m:t>
          </m:r>
          <m:r>
            <m:rPr>
              <m:sty m:val="p"/>
            </m:rPr>
            <m:t>=</m:t>
          </m:r>
          <m:sSub>
            <m:e>
              <m:r>
                <m:t>g</m:t>
              </m:r>
            </m:e>
            <m:sub>
              <m:r>
                <m:t>h</m:t>
              </m:r>
            </m:sub>
          </m:sSub>
          <m:r>
            <m:rPr>
              <m:sty m:val="p"/>
            </m:rPr>
            <m:t>(</m:t>
          </m:r>
          <m:r>
            <m:t>θ</m:t>
          </m:r>
          <m:r>
            <m:rPr>
              <m:sty m:val="p"/>
            </m:rPr>
            <m:t>(</m:t>
          </m:r>
          <m:r>
            <m:t>k</m:t>
          </m:r>
          <m:r>
            <m:rPr>
              <m:sty m:val="p"/>
            </m:rPr>
            <m:t>)</m:t>
          </m:r>
          <m:r>
            <m:rPr>
              <m:sty m:val="p"/>
            </m:rPr>
            <m:t>)</m:t>
          </m:r>
          <m:r>
            <m:rPr>
              <m:sty m:val="p"/>
            </m:rPr>
            <m:t>+</m:t>
          </m:r>
          <m:sSub>
            <m:e>
              <m:r>
                <m:t>v</m:t>
              </m:r>
            </m:e>
            <m:sub>
              <m:r>
                <m:t>h</m:t>
              </m:r>
            </m:sub>
          </m:sSub>
          <m:r>
            <m:rPr>
              <m:sty m:val="p"/>
            </m:rPr>
            <m:t>(</m:t>
          </m:r>
          <m:r>
            <m:t>k</m:t>
          </m:r>
          <m:r>
            <m:rPr>
              <m:sty m:val="p"/>
            </m:rPr>
            <m:t>)</m:t>
          </m:r>
          <m:r>
            <m:rPr>
              <m:sty m:val="p"/>
            </m:rPr>
            <m:t>,</m:t>
          </m:r>
          <m:r>
            <m:t> </m:t>
          </m:r>
          <m:r>
            <m:t>h</m:t>
          </m:r>
          <m:r>
            <m:rPr>
              <m:sty m:val="p"/>
            </m:rPr>
            <m:t>=</m:t>
          </m:r>
          <m:r>
            <m:t>1</m:t>
          </m:r>
          <m:r>
            <m:rPr>
              <m:sty m:val="p"/>
            </m:rPr>
            <m:t>,</m:t>
          </m:r>
          <m:r>
            <m:t>2</m:t>
          </m:r>
        </m:oMath>
      </m:oMathPara>
    </w:p>
    <w:p>
      <w:pPr>
        <w:pStyle w:val="FirstParagraph"/>
      </w:pPr>
      <w:r>
        <w:rPr>
          <w:rFonts w:hint="eastAsia"/>
        </w:rPr>
        <w:t xml:space="preserve">写成向量形式：</w:t>
      </w:r>
    </w:p>
    <w:p>
      <w:pPr>
        <w:pStyle w:val="BodyText"/>
      </w:pPr>
      <m:oMathPara>
        <m:oMathParaPr>
          <m:jc m:val="center"/>
        </m:oMathParaPr>
        <m:oMath>
          <m:r>
            <m:rPr>
              <m:sty m:val="bi"/>
            </m:rPr>
            <m:t>d</m:t>
          </m:r>
          <m:r>
            <m:rPr>
              <m:sty m:val="p"/>
            </m:rPr>
            <m:t>(</m:t>
          </m:r>
          <m:r>
            <m:t>k</m:t>
          </m:r>
          <m:r>
            <m:rPr>
              <m:sty m:val="p"/>
            </m:rPr>
            <m:t>)</m:t>
          </m:r>
          <m:r>
            <m:rPr>
              <m:sty m:val="p"/>
            </m:rPr>
            <m:t>=</m:t>
          </m:r>
          <m:d>
            <m:dPr>
              <m:begChr m:val="["/>
              <m:sepChr m:val=""/>
              <m:endChr m:val="]"/>
              <m:grow/>
            </m:dPr>
            <m:e>
              <m:m>
                <m:mPr>
                  <m:baseJc m:val="center"/>
                  <m:plcHide m:val="on"/>
                  <m:mcs>
                    <m:mc>
                      <m:mcPr>
                        <m:mcJc m:val="center"/>
                        <m:count m:val="1"/>
                      </m:mcPr>
                    </m:mc>
                  </m:mcs>
                </m:mPr>
                <m:mr>
                  <m:e>
                    <m:sSub>
                      <m:e>
                        <m:r>
                          <m:t>d</m:t>
                        </m:r>
                      </m:e>
                      <m:sub>
                        <m:r>
                          <m:t>1</m:t>
                        </m:r>
                      </m:sub>
                    </m:sSub>
                    <m:r>
                      <m:rPr>
                        <m:sty m:val="p"/>
                      </m:rPr>
                      <m:t>(</m:t>
                    </m:r>
                    <m:r>
                      <m:t>k</m:t>
                    </m:r>
                    <m:r>
                      <m:rPr>
                        <m:sty m:val="p"/>
                      </m:rPr>
                      <m:t>)</m:t>
                    </m:r>
                  </m:e>
                </m:mr>
                <m:mr>
                  <m:e>
                    <m:sSub>
                      <m:e>
                        <m:r>
                          <m:t>d</m:t>
                        </m:r>
                      </m:e>
                      <m:sub>
                        <m:r>
                          <m:t>2</m:t>
                        </m:r>
                      </m:sub>
                    </m:sSub>
                    <m:r>
                      <m:rPr>
                        <m:sty m:val="p"/>
                      </m:rPr>
                      <m:t>(</m:t>
                    </m:r>
                    <m:r>
                      <m:t>k</m:t>
                    </m:r>
                    <m:r>
                      <m:rPr>
                        <m:sty m:val="p"/>
                      </m:rPr>
                      <m:t>)</m:t>
                    </m:r>
                  </m:e>
                </m:mr>
              </m:m>
            </m:e>
          </m:d>
          <m:r>
            <m:rPr>
              <m:sty m:val="p"/>
            </m:rPr>
            <m:t>=</m:t>
          </m:r>
          <m:r>
            <m:rPr>
              <m:sty m:val="bi"/>
            </m:rPr>
            <m:t>g</m:t>
          </m:r>
          <m:r>
            <m:rPr>
              <m:sty m:val="p"/>
            </m:rPr>
            <m:t>(</m:t>
          </m:r>
          <m:r>
            <m:t>θ</m:t>
          </m:r>
          <m:r>
            <m:rPr>
              <m:sty m:val="p"/>
            </m:rPr>
            <m:t>(</m:t>
          </m:r>
          <m:r>
            <m:t>k</m:t>
          </m:r>
          <m:r>
            <m:rPr>
              <m:sty m:val="p"/>
            </m:rPr>
            <m:t>)</m:t>
          </m:r>
          <m:r>
            <m:rPr>
              <m:sty m:val="p"/>
            </m:rPr>
            <m:t>)</m:t>
          </m:r>
          <m:r>
            <m:rPr>
              <m:sty m:val="p"/>
            </m:rPr>
            <m:t>+</m:t>
          </m:r>
          <m:r>
            <m:rPr>
              <m:sty m:val="bi"/>
            </m:rPr>
            <m:t>v</m:t>
          </m:r>
          <m:r>
            <m:rPr>
              <m:sty m:val="p"/>
            </m:rPr>
            <m:t>(</m:t>
          </m:r>
          <m:r>
            <m:t>k</m:t>
          </m:r>
          <m:r>
            <m:rPr>
              <m:sty m:val="p"/>
            </m:rPr>
            <m:t>)</m:t>
          </m:r>
        </m:oMath>
      </m:oMathPara>
    </w:p>
    <w:p>
      <w:pPr>
        <w:pStyle w:val="FirstParagraph"/>
      </w:pPr>
      <w:r>
        <w:rPr>
          <w:rFonts w:hint="eastAsia"/>
        </w:rPr>
        <w:t xml:space="preserve">在两霍尔方案中，先对两路原始信号做零偏和幅值归一化：</w:t>
      </w:r>
    </w:p>
    <w:p>
      <w:pPr>
        <w:pStyle w:val="BodyText"/>
      </w:pPr>
      <m:oMathPara>
        <m:oMathParaPr>
          <m:jc m:val="center"/>
        </m:oMathParaPr>
        <m:oMath>
          <m:sSub>
            <m:e>
              <m:acc>
                <m:accPr>
                  <m:chr m:val="̃"/>
                </m:accPr>
                <m:e>
                  <m:r>
                    <m:t>d</m:t>
                  </m:r>
                </m:e>
              </m:acc>
            </m:e>
            <m:sub>
              <m:r>
                <m:t>1</m:t>
              </m:r>
            </m:sub>
          </m:sSub>
          <m:r>
            <m:rPr>
              <m:sty m:val="p"/>
            </m:rPr>
            <m:t>(</m:t>
          </m:r>
          <m:r>
            <m:t>k</m:t>
          </m:r>
          <m:r>
            <m:rPr>
              <m:sty m:val="p"/>
            </m:rPr>
            <m:t>)</m:t>
          </m:r>
          <m:r>
            <m:rPr>
              <m:sty m:val="p"/>
            </m:rPr>
            <m:t>=</m:t>
          </m:r>
          <m:f>
            <m:fPr>
              <m:type m:val="bar"/>
            </m:fPr>
            <m:num>
              <m:sSub>
                <m:e>
                  <m:r>
                    <m:t>d</m:t>
                  </m:r>
                </m:e>
                <m:sub>
                  <m:r>
                    <m:t>1</m:t>
                  </m:r>
                </m:sub>
              </m:sSub>
              <m:r>
                <m:rPr>
                  <m:sty m:val="p"/>
                </m:rPr>
                <m:t>(</m:t>
              </m:r>
              <m:r>
                <m:t>k</m:t>
              </m:r>
              <m:r>
                <m:rPr>
                  <m:sty m:val="p"/>
                </m:rPr>
                <m:t>)</m:t>
              </m:r>
              <m:r>
                <m:rPr>
                  <m:sty m:val="p"/>
                </m:rPr>
                <m:t>−</m:t>
              </m:r>
              <m:sSub>
                <m:e>
                  <m:r>
                    <m:t>o</m:t>
                  </m:r>
                </m:e>
                <m:sub>
                  <m:r>
                    <m:t>1</m:t>
                  </m:r>
                </m:sub>
              </m:sSub>
            </m:num>
            <m:den>
              <m:sSub>
                <m:e>
                  <m:r>
                    <m:t>A</m:t>
                  </m:r>
                </m:e>
                <m:sub>
                  <m:r>
                    <m:t>1</m:t>
                  </m:r>
                </m:sub>
              </m:sSub>
            </m:den>
          </m:f>
          <m:r>
            <m:rPr>
              <m:sty m:val="p"/>
            </m:rPr>
            <m:t>,</m:t>
          </m:r>
          <m:r>
            <m:t>  </m:t>
          </m:r>
          <m:sSub>
            <m:e>
              <m:acc>
                <m:accPr>
                  <m:chr m:val="̃"/>
                </m:accPr>
                <m:e>
                  <m:r>
                    <m:t>d</m:t>
                  </m:r>
                </m:e>
              </m:acc>
            </m:e>
            <m:sub>
              <m:r>
                <m:t>2</m:t>
              </m:r>
            </m:sub>
          </m:sSub>
          <m:r>
            <m:rPr>
              <m:sty m:val="p"/>
            </m:rPr>
            <m:t>(</m:t>
          </m:r>
          <m:r>
            <m:t>k</m:t>
          </m:r>
          <m:r>
            <m:rPr>
              <m:sty m:val="p"/>
            </m:rPr>
            <m:t>)</m:t>
          </m:r>
          <m:r>
            <m:rPr>
              <m:sty m:val="p"/>
            </m:rPr>
            <m:t>=</m:t>
          </m:r>
          <m:f>
            <m:fPr>
              <m:type m:val="bar"/>
            </m:fPr>
            <m:num>
              <m:sSub>
                <m:e>
                  <m:r>
                    <m:t>d</m:t>
                  </m:r>
                </m:e>
                <m:sub>
                  <m:r>
                    <m:t>2</m:t>
                  </m:r>
                </m:sub>
              </m:sSub>
              <m:r>
                <m:rPr>
                  <m:sty m:val="p"/>
                </m:rPr>
                <m:t>(</m:t>
              </m:r>
              <m:r>
                <m:t>k</m:t>
              </m:r>
              <m:r>
                <m:rPr>
                  <m:sty m:val="p"/>
                </m:rPr>
                <m:t>)</m:t>
              </m:r>
              <m:r>
                <m:rPr>
                  <m:sty m:val="p"/>
                </m:rPr>
                <m:t>−</m:t>
              </m:r>
              <m:sSub>
                <m:e>
                  <m:r>
                    <m:t>o</m:t>
                  </m:r>
                </m:e>
                <m:sub>
                  <m:r>
                    <m:t>2</m:t>
                  </m:r>
                </m:sub>
              </m:sSub>
            </m:num>
            <m:den>
              <m:sSub>
                <m:e>
                  <m:r>
                    <m:t>A</m:t>
                  </m:r>
                </m:e>
                <m:sub>
                  <m:r>
                    <m:t>2</m:t>
                  </m:r>
                </m:sub>
              </m:sSub>
            </m:den>
          </m:f>
        </m:oMath>
      </m:oMathPara>
    </w:p>
    <w:p>
      <w:pPr>
        <w:pStyle w:val="FirstParagraph"/>
      </w:pPr>
      <w:r>
        <w:rPr>
          <w:rFonts w:hint="eastAsia"/>
        </w:rPr>
        <w:t xml:space="preserve">其中</w:t>
      </w:r>
      <w:r>
        <w:t xml:space="preserve"> </w:t>
      </w:r>
      <w:r>
        <w:rPr>
          <w:rStyle w:val="VerbatimChar"/>
        </w:rPr>
        <w:t xml:space="preserve">o_1,o_2</w:t>
      </w:r>
      <w:r>
        <w:t xml:space="preserve"> </w:t>
      </w:r>
      <w:r>
        <w:rPr>
          <w:rFonts w:hint="eastAsia"/>
        </w:rPr>
        <w:t xml:space="preserve">为零偏，</w:t>
      </w:r>
      <w:r>
        <w:rPr>
          <w:rStyle w:val="VerbatimChar"/>
        </w:rPr>
        <w:t xml:space="preserve">A_1,A_2</w:t>
      </w:r>
      <w:r>
        <w:t xml:space="preserve"> </w:t>
      </w:r>
      <w:r>
        <w:rPr>
          <w:rFonts w:hint="eastAsia"/>
        </w:rPr>
        <w:t xml:space="preserve">为幅值标定量。若两路信号存在相位误差</w:t>
      </w:r>
      <w:r>
        <w:t xml:space="preserve"> </w:t>
      </w:r>
      <w:r>
        <w:rPr>
          <w:rStyle w:val="VerbatimChar"/>
        </w:rPr>
        <w:t xml:space="preserve">delta_phi</w:t>
      </w:r>
      <w:r>
        <w:rPr>
          <w:rFonts w:hint="eastAsia"/>
        </w:rPr>
        <w:t xml:space="preserve">，可用一阶正交化关系近似修正为：</w:t>
      </w:r>
    </w:p>
    <w:p>
      <w:pPr>
        <w:pStyle w:val="BodyText"/>
      </w:pPr>
      <m:oMathPara>
        <m:oMathParaPr>
          <m:jc m:val="center"/>
        </m:oMathParaPr>
        <m:oMath>
          <m:sSub>
            <m:e>
              <m:r>
                <m:t>d</m:t>
              </m:r>
            </m:e>
            <m:sub>
              <m:r>
                <m:t>s</m:t>
              </m:r>
            </m:sub>
          </m:sSub>
          <m:r>
            <m:rPr>
              <m:sty m:val="p"/>
            </m:rPr>
            <m:t>(</m:t>
          </m:r>
          <m:r>
            <m:t>k</m:t>
          </m:r>
          <m:r>
            <m:rPr>
              <m:sty m:val="p"/>
            </m:rPr>
            <m:t>)</m:t>
          </m:r>
          <m:r>
            <m:rPr>
              <m:sty m:val="p"/>
            </m:rPr>
            <m:t>=</m:t>
          </m:r>
          <m:sSub>
            <m:e>
              <m:acc>
                <m:accPr>
                  <m:chr m:val="̃"/>
                </m:accPr>
                <m:e>
                  <m:r>
                    <m:t>d</m:t>
                  </m:r>
                </m:e>
              </m:acc>
            </m:e>
            <m:sub>
              <m:r>
                <m:t>1</m:t>
              </m:r>
            </m:sub>
          </m:sSub>
          <m:r>
            <m:rPr>
              <m:sty m:val="p"/>
            </m:rPr>
            <m:t>(</m:t>
          </m:r>
          <m:r>
            <m:t>k</m:t>
          </m:r>
          <m:r>
            <m:rPr>
              <m:sty m:val="p"/>
            </m:rPr>
            <m:t>)</m:t>
          </m:r>
        </m:oMath>
      </m:oMathPara>
    </w:p>
    <w:p>
      <w:pPr>
        <w:pStyle w:val="FirstParagraph"/>
      </w:pPr>
      <m:oMathPara>
        <m:oMathParaPr>
          <m:jc m:val="center"/>
        </m:oMathParaPr>
        <m:oMath>
          <m:sSub>
            <m:e>
              <m:r>
                <m:t>d</m:t>
              </m:r>
            </m:e>
            <m:sub>
              <m:r>
                <m:t>c</m:t>
              </m:r>
            </m:sub>
          </m:sSub>
          <m:r>
            <m:rPr>
              <m:sty m:val="p"/>
            </m:rPr>
            <m:t>(</m:t>
          </m:r>
          <m:r>
            <m:t>k</m:t>
          </m:r>
          <m:r>
            <m:rPr>
              <m:sty m:val="p"/>
            </m:rPr>
            <m:t>)</m:t>
          </m:r>
          <m:r>
            <m:rPr>
              <m:sty m:val="p"/>
            </m:rPr>
            <m:t>=</m:t>
          </m:r>
          <m:f>
            <m:fPr>
              <m:type m:val="bar"/>
            </m:fPr>
            <m:num>
              <m:sSub>
                <m:e>
                  <m:acc>
                    <m:accPr>
                      <m:chr m:val="̃"/>
                    </m:accPr>
                    <m:e>
                      <m:r>
                        <m:t>d</m:t>
                      </m:r>
                    </m:e>
                  </m:acc>
                </m:e>
                <m:sub>
                  <m:r>
                    <m:t>2</m:t>
                  </m:r>
                </m:sub>
              </m:sSub>
              <m:r>
                <m:rPr>
                  <m:sty m:val="p"/>
                </m:rPr>
                <m:t>(</m:t>
              </m:r>
              <m:r>
                <m:t>k</m:t>
              </m:r>
              <m:r>
                <m:rPr>
                  <m:sty m:val="p"/>
                </m:rPr>
                <m:t>)</m:t>
              </m:r>
              <m:r>
                <m:rPr>
                  <m:sty m:val="p"/>
                </m:rPr>
                <m:t>−</m:t>
              </m:r>
              <m:r>
                <m:rPr>
                  <m:sty m:val="p"/>
                </m:rPr>
                <m:t>sin</m:t>
              </m:r>
              <m:r>
                <m:rPr>
                  <m:sty m:val="p"/>
                </m:rPr>
                <m:t>(</m:t>
              </m:r>
              <m:sSub>
                <m:e>
                  <m:r>
                    <m:t>δ</m:t>
                  </m:r>
                </m:e>
                <m:sub>
                  <m:r>
                    <m:t>ϕ</m:t>
                  </m:r>
                </m:sub>
              </m:sSub>
              <m:r>
                <m:rPr>
                  <m:sty m:val="p"/>
                </m:rPr>
                <m:t>)</m:t>
              </m:r>
              <m:sSub>
                <m:e>
                  <m:acc>
                    <m:accPr>
                      <m:chr m:val="̃"/>
                    </m:accPr>
                    <m:e>
                      <m:r>
                        <m:t>d</m:t>
                      </m:r>
                    </m:e>
                  </m:acc>
                </m:e>
                <m:sub>
                  <m:r>
                    <m:t>1</m:t>
                  </m:r>
                </m:sub>
              </m:sSub>
              <m:r>
                <m:rPr>
                  <m:sty m:val="p"/>
                </m:rPr>
                <m:t>(</m:t>
              </m:r>
              <m:r>
                <m:t>k</m:t>
              </m:r>
              <m:r>
                <m:rPr>
                  <m:sty m:val="p"/>
                </m:rPr>
                <m:t>)</m:t>
              </m:r>
            </m:num>
            <m:den>
              <m:r>
                <m:rPr>
                  <m:sty m:val="p"/>
                </m:rPr>
                <m:t>cos</m:t>
              </m:r>
              <m:r>
                <m:rPr>
                  <m:sty m:val="p"/>
                </m:rPr>
                <m:t>(</m:t>
              </m:r>
              <m:sSub>
                <m:e>
                  <m:r>
                    <m:t>δ</m:t>
                  </m:r>
                </m:e>
                <m:sub>
                  <m:r>
                    <m:t>ϕ</m:t>
                  </m:r>
                </m:sub>
              </m:sSub>
              <m:r>
                <m:rPr>
                  <m:sty m:val="p"/>
                </m:rPr>
                <m:t>)</m:t>
              </m:r>
            </m:den>
          </m:f>
        </m:oMath>
      </m:oMathPara>
    </w:p>
    <w:p>
      <w:pPr>
        <w:pStyle w:val="FirstParagraph"/>
      </w:pPr>
      <w:r>
        <w:rPr>
          <w:rFonts w:hint="eastAsia"/>
        </w:rPr>
        <w:t xml:space="preserve">初始角度估计为：</w:t>
      </w:r>
    </w:p>
    <w:p>
      <w:pPr>
        <w:pStyle w:val="BodyText"/>
      </w:pPr>
      <m:oMathPara>
        <m:oMathParaPr>
          <m:jc m:val="center"/>
        </m:oMathParaPr>
        <m:oMath>
          <m:sSub>
            <m:e>
              <m:r>
                <m:t>θ</m:t>
              </m:r>
            </m:e>
            <m:sub>
              <m:r>
                <m:rPr>
                  <m:sty m:val="p"/>
                </m:rPr>
                <m:t>r</m:t>
              </m:r>
              <m:r>
                <m:rPr>
                  <m:sty m:val="p"/>
                </m:rPr>
                <m:t>a</m:t>
              </m:r>
              <m:r>
                <m:rPr>
                  <m:sty m:val="p"/>
                </m:rPr>
                <m:t>w</m:t>
              </m:r>
            </m:sub>
          </m:sSub>
          <m:r>
            <m:rPr>
              <m:sty m:val="p"/>
            </m:rPr>
            <m:t>(</m:t>
          </m:r>
          <m:r>
            <m:t>k</m:t>
          </m:r>
          <m:r>
            <m:rPr>
              <m:sty m:val="p"/>
            </m:rPr>
            <m:t>)</m:t>
          </m:r>
          <m:r>
            <m:rPr>
              <m:sty m:val="p"/>
            </m:rPr>
            <m:t>=</m:t>
          </m:r>
          <m:f>
            <m:fPr>
              <m:type m:val="bar"/>
            </m:fPr>
            <m:num>
              <m:r>
                <m:t>1</m:t>
              </m:r>
            </m:num>
            <m:den>
              <m:sSub>
                <m:e>
                  <m:r>
                    <m:t>n</m:t>
                  </m:r>
                </m:e>
                <m:sub>
                  <m:r>
                    <m:t>m</m:t>
                  </m:r>
                </m:sub>
              </m:sSub>
            </m:den>
          </m:f>
          <m:r>
            <m:rPr>
              <m:sty m:val="p"/>
            </m:rPr>
            <m:t>unwrap</m:t>
          </m:r>
          <m:d>
            <m:dPr>
              <m:begChr m:val="["/>
              <m:sepChr m:val=""/>
              <m:endChr m:val="]"/>
              <m:grow/>
            </m:dPr>
            <m:e>
              <m:r>
                <m:rPr>
                  <m:sty m:val="p"/>
                </m:rPr>
                <m:t>atan2</m:t>
              </m:r>
              <m:r>
                <m:rPr>
                  <m:sty m:val="p"/>
                </m:rPr>
                <m:t>(</m:t>
              </m:r>
              <m:sSub>
                <m:e>
                  <m:r>
                    <m:t>d</m:t>
                  </m:r>
                </m:e>
                <m:sub>
                  <m:r>
                    <m:t>s</m:t>
                  </m:r>
                </m:sub>
              </m:sSub>
              <m:r>
                <m:rPr>
                  <m:sty m:val="p"/>
                </m:rPr>
                <m:t>(</m:t>
              </m:r>
              <m:r>
                <m:t>k</m:t>
              </m:r>
              <m:r>
                <m:rPr>
                  <m:sty m:val="p"/>
                </m:rPr>
                <m:t>)</m:t>
              </m:r>
              <m:r>
                <m:rPr>
                  <m:sty m:val="p"/>
                </m:rPr>
                <m:t>,</m:t>
              </m:r>
              <m:sSub>
                <m:e>
                  <m:r>
                    <m:t>d</m:t>
                  </m:r>
                </m:e>
                <m:sub>
                  <m:r>
                    <m:t>c</m:t>
                  </m:r>
                </m:sub>
              </m:sSub>
              <m:r>
                <m:rPr>
                  <m:sty m:val="p"/>
                </m:rPr>
                <m:t>(</m:t>
              </m:r>
              <m:r>
                <m:t>k</m:t>
              </m:r>
              <m:r>
                <m:rPr>
                  <m:sty m:val="p"/>
                </m:rPr>
                <m:t>)</m:t>
              </m:r>
              <m:r>
                <m:rPr>
                  <m:sty m:val="p"/>
                </m:rPr>
                <m:t>)</m:t>
              </m:r>
            </m:e>
          </m:d>
        </m:oMath>
      </m:oMathPara>
    </w:p>
    <w:p>
      <w:pPr>
        <w:pStyle w:val="FirstParagraph"/>
      </w:pPr>
      <w:r>
        <w:rPr>
          <w:rFonts w:hint="eastAsia"/>
        </w:rPr>
        <w:t xml:space="preserve">实际误差可建模为周期函数，工程上常用傅里叶误差表：</w:t>
      </w:r>
    </w:p>
    <w:p>
      <w:pPr>
        <w:pStyle w:val="BodyText"/>
      </w:pPr>
      <m:oMathPara>
        <m:oMathParaPr>
          <m:jc m:val="center"/>
        </m:oMathParaPr>
        <m:oMath>
          <m:r>
            <m:t>e</m:t>
          </m:r>
          <m:r>
            <m:rPr>
              <m:sty m:val="p"/>
            </m:rPr>
            <m:t>(</m:t>
          </m:r>
          <m:r>
            <m:t>θ</m:t>
          </m:r>
          <m:r>
            <m:rPr>
              <m:sty m:val="p"/>
            </m:rPr>
            <m:t>)</m:t>
          </m:r>
          <m:r>
            <m:rPr>
              <m:sty m:val="p"/>
            </m:rPr>
            <m:t>=</m:t>
          </m:r>
          <m:sSub>
            <m:e>
              <m:r>
                <m:t>a</m:t>
              </m:r>
            </m:e>
            <m:sub>
              <m:r>
                <m:t>0</m:t>
              </m:r>
            </m:sub>
          </m:sSub>
          <m:r>
            <m:rPr>
              <m:sty m:val="p"/>
            </m:rPr>
            <m:t>+</m:t>
          </m:r>
          <m:nary>
            <m:naryPr>
              <m:chr m:val="∑"/>
              <m:limLoc m:val="undOvr"/>
              <m:subHide m:val="off"/>
              <m:supHide m:val="off"/>
            </m:naryPr>
            <m:sub>
              <m:r>
                <m:t>n</m:t>
              </m:r>
              <m:r>
                <m:rPr>
                  <m:sty m:val="p"/>
                </m:rPr>
                <m:t>=</m:t>
              </m:r>
              <m:r>
                <m:t>1</m:t>
              </m:r>
            </m:sub>
            <m:sup>
              <m:r>
                <m:t>N</m:t>
              </m:r>
            </m:sup>
            <m:e>
              <m:d>
                <m:dPr>
                  <m:begChr m:val="["/>
                  <m:sepChr m:val=""/>
                  <m:endChr m:val="]"/>
                  <m:grow/>
                </m:dPr>
                <m:e>
                  <m:sSub>
                    <m:e>
                      <m:r>
                        <m:t>a</m:t>
                      </m:r>
                    </m:e>
                    <m:sub>
                      <m:r>
                        <m:t>n</m:t>
                      </m:r>
                    </m:sub>
                  </m:sSub>
                  <m:r>
                    <m:rPr>
                      <m:sty m:val="p"/>
                    </m:rPr>
                    <m:t>cos</m:t>
                  </m:r>
                  <m:r>
                    <m:rPr>
                      <m:sty m:val="p"/>
                    </m:rPr>
                    <m:t>(</m:t>
                  </m:r>
                  <m:r>
                    <m:t>n</m:t>
                  </m:r>
                  <m:r>
                    <m:t>θ</m:t>
                  </m:r>
                  <m:r>
                    <m:rPr>
                      <m:sty m:val="p"/>
                    </m:rPr>
                    <m:t>)</m:t>
                  </m:r>
                  <m:r>
                    <m:rPr>
                      <m:sty m:val="p"/>
                    </m:rPr>
                    <m:t>+</m:t>
                  </m:r>
                  <m:sSub>
                    <m:e>
                      <m:r>
                        <m:t>b</m:t>
                      </m:r>
                    </m:e>
                    <m:sub>
                      <m:r>
                        <m:t>n</m:t>
                      </m:r>
                    </m:sub>
                  </m:sSub>
                  <m:r>
                    <m:rPr>
                      <m:sty m:val="p"/>
                    </m:rPr>
                    <m:t>sin</m:t>
                  </m:r>
                  <m:r>
                    <m:rPr>
                      <m:sty m:val="p"/>
                    </m:rPr>
                    <m:t>(</m:t>
                  </m:r>
                  <m:r>
                    <m:t>n</m:t>
                  </m:r>
                  <m:r>
                    <m:t>θ</m:t>
                  </m:r>
                  <m:r>
                    <m:rPr>
                      <m:sty m:val="p"/>
                    </m:rPr>
                    <m:t>)</m:t>
                  </m:r>
                </m:e>
              </m:d>
            </m:e>
          </m:nary>
        </m:oMath>
      </m:oMathPara>
    </w:p>
    <w:p>
      <w:pPr>
        <w:pStyle w:val="FirstParagraph"/>
      </w:pPr>
      <w:r>
        <w:rPr>
          <w:rFonts w:hint="eastAsia"/>
        </w:rPr>
        <w:t xml:space="preserve">补偿后的角度为：</w:t>
      </w:r>
    </w:p>
    <w:p>
      <w:pPr>
        <w:pStyle w:val="BodyText"/>
      </w:pPr>
      <m:oMathPara>
        <m:oMathParaPr>
          <m:jc m:val="center"/>
        </m:oMathParaPr>
        <m:oMath>
          <m:acc>
            <m:accPr>
              <m:chr m:val="̂"/>
            </m:accPr>
            <m:e>
              <m:r>
                <m:t>θ</m:t>
              </m:r>
            </m:e>
          </m:acc>
          <m:r>
            <m:rPr>
              <m:sty m:val="p"/>
            </m:rPr>
            <m:t>(</m:t>
          </m:r>
          <m:r>
            <m:t>k</m:t>
          </m:r>
          <m:r>
            <m:rPr>
              <m:sty m:val="p"/>
            </m:rPr>
            <m:t>)</m:t>
          </m:r>
          <m:r>
            <m:rPr>
              <m:sty m:val="p"/>
            </m:rPr>
            <m:t>=</m:t>
          </m:r>
          <m:sSub>
            <m:e>
              <m:r>
                <m:t>θ</m:t>
              </m:r>
            </m:e>
            <m:sub>
              <m:r>
                <m:rPr>
                  <m:sty m:val="p"/>
                </m:rPr>
                <m:t>r</m:t>
              </m:r>
              <m:r>
                <m:rPr>
                  <m:sty m:val="p"/>
                </m:rPr>
                <m:t>a</m:t>
              </m:r>
              <m:r>
                <m:rPr>
                  <m:sty m:val="p"/>
                </m:rPr>
                <m:t>w</m:t>
              </m:r>
            </m:sub>
          </m:sSub>
          <m:r>
            <m:rPr>
              <m:sty m:val="p"/>
            </m:rPr>
            <m:t>(</m:t>
          </m:r>
          <m:r>
            <m:t>k</m:t>
          </m:r>
          <m:r>
            <m:rPr>
              <m:sty m:val="p"/>
            </m:rPr>
            <m:t>)</m:t>
          </m:r>
          <m:r>
            <m:rPr>
              <m:sty m:val="p"/>
            </m:rPr>
            <m:t>−</m:t>
          </m:r>
          <m:acc>
            <m:accPr>
              <m:chr m:val="̂"/>
            </m:accPr>
            <m:e>
              <m:r>
                <m:t>e</m:t>
              </m:r>
            </m:e>
          </m:acc>
          <m:r>
            <m:rPr>
              <m:sty m:val="p"/>
            </m:rPr>
            <m:t>(</m:t>
          </m:r>
          <m:sSub>
            <m:e>
              <m:r>
                <m:t>θ</m:t>
              </m:r>
            </m:e>
            <m:sub>
              <m:r>
                <m:rPr>
                  <m:sty m:val="p"/>
                </m:rPr>
                <m:t>r</m:t>
              </m:r>
              <m:r>
                <m:rPr>
                  <m:sty m:val="p"/>
                </m:rPr>
                <m:t>a</m:t>
              </m:r>
              <m:r>
                <m:rPr>
                  <m:sty m:val="p"/>
                </m:rPr>
                <m:t>w</m:t>
              </m:r>
            </m:sub>
          </m:sSub>
          <m:r>
            <m:rPr>
              <m:sty m:val="p"/>
            </m:rPr>
            <m:t>(</m:t>
          </m:r>
          <m:r>
            <m:t>k</m:t>
          </m:r>
          <m:r>
            <m:rPr>
              <m:sty m:val="p"/>
            </m:rPr>
            <m:t>)</m:t>
          </m:r>
          <m:r>
            <m:rPr>
              <m:sty m:val="p"/>
            </m:rPr>
            <m:t>)</m:t>
          </m:r>
        </m:oMath>
      </m:oMathPara>
    </w:p>
    <w:p>
      <w:pPr>
        <w:pStyle w:val="FirstParagraph"/>
      </w:pPr>
      <w:r>
        <w:rPr>
          <w:rFonts w:hint="eastAsia"/>
        </w:rPr>
        <w:t xml:space="preserve">数据驱动辨识的目标可以写成：</w:t>
      </w:r>
    </w:p>
    <w:p>
      <w:pPr>
        <w:pStyle w:val="BodyText"/>
      </w:pPr>
      <m:oMathPara>
        <m:oMathParaPr>
          <m:jc m:val="center"/>
        </m:oMathParaPr>
        <m:oMath>
          <m:acc>
            <m:accPr>
              <m:chr m:val="̂"/>
            </m:accPr>
            <m:e>
              <m:r>
                <m:t>η</m:t>
              </m:r>
            </m:e>
          </m:acc>
          <m:r>
            <m:rPr>
              <m:sty m:val="p"/>
            </m:rPr>
            <m:t>=</m:t>
          </m:r>
          <m:r>
            <m:rPr>
              <m:sty m:val="p"/>
            </m:rPr>
            <m:t>arg</m:t>
          </m:r>
          <m:limLow>
            <m:e>
              <m:r>
                <m:rPr>
                  <m:sty m:val="p"/>
                </m:rPr>
                <m:t>min</m:t>
              </m:r>
            </m:e>
            <m:lim>
              <m:r>
                <m:t>η</m:t>
              </m:r>
            </m:lim>
          </m:limLow>
          <m:nary>
            <m:naryPr>
              <m:chr m:val="∑"/>
              <m:limLoc m:val="undOvr"/>
              <m:subHide m:val="off"/>
              <m:supHide m:val="on"/>
            </m:naryPr>
            <m:sub>
              <m:r>
                <m:t>k</m:t>
              </m:r>
            </m:sub>
            <m:sup>
              <m:r>
                <m:t>​</m:t>
              </m:r>
            </m:sup>
            <m:e>
              <m:sSup>
                <m:e>
                  <m:d>
                    <m:dPr>
                      <m:begChr m:val="∥"/>
                      <m:sepChr m:val=""/>
                      <m:endChr m:val="∥"/>
                      <m:grow/>
                    </m:dPr>
                    <m:e>
                      <m:r>
                        <m:rPr>
                          <m:sty m:val="bi"/>
                        </m:rPr>
                        <m:t>d</m:t>
                      </m:r>
                      <m:r>
                        <m:rPr>
                          <m:sty m:val="p"/>
                        </m:rPr>
                        <m:t>(</m:t>
                      </m:r>
                      <m:r>
                        <m:t>k</m:t>
                      </m:r>
                      <m:r>
                        <m:rPr>
                          <m:sty m:val="p"/>
                        </m:rPr>
                        <m:t>)</m:t>
                      </m:r>
                      <m:r>
                        <m:rPr>
                          <m:sty m:val="p"/>
                        </m:rPr>
                        <m:t>−</m:t>
                      </m:r>
                      <m:sSub>
                        <m:e>
                          <m:acc>
                            <m:accPr>
                              <m:chr m:val="̂"/>
                            </m:accPr>
                            <m:e>
                              <m:r>
                                <m:rPr>
                                  <m:sty m:val="bi"/>
                                </m:rPr>
                                <m:t>g</m:t>
                              </m:r>
                            </m:e>
                          </m:acc>
                        </m:e>
                        <m:sub>
                          <m:r>
                            <m:t>η</m:t>
                          </m:r>
                        </m:sub>
                      </m:sSub>
                      <m:r>
                        <m:rPr>
                          <m:sty m:val="p"/>
                        </m:rPr>
                        <m:t>(</m:t>
                      </m:r>
                      <m:acc>
                        <m:accPr>
                          <m:chr m:val="̂"/>
                        </m:accPr>
                        <m:e>
                          <m:r>
                            <m:t>θ</m:t>
                          </m:r>
                        </m:e>
                      </m:acc>
                      <m:r>
                        <m:rPr>
                          <m:sty m:val="p"/>
                        </m:rPr>
                        <m:t>(</m:t>
                      </m:r>
                      <m:r>
                        <m:t>k</m:t>
                      </m:r>
                      <m:r>
                        <m:rPr>
                          <m:sty m:val="p"/>
                        </m:rPr>
                        <m:t>)</m:t>
                      </m:r>
                      <m:r>
                        <m:rPr>
                          <m:sty m:val="p"/>
                        </m:rPr>
                        <m:t>)</m:t>
                      </m:r>
                    </m:e>
                  </m:d>
                </m:e>
                <m:sup>
                  <m:r>
                    <m:t>2</m:t>
                  </m:r>
                </m:sup>
              </m:sSup>
            </m:e>
          </m:nary>
        </m:oMath>
      </m:oMathPara>
    </w:p>
    <w:p>
      <w:pPr>
        <w:pStyle w:val="FirstParagraph"/>
      </w:pPr>
      <w:r>
        <w:rPr>
          <w:rFonts w:hint="eastAsia"/>
        </w:rPr>
        <w:t xml:space="preserve">其中</w:t>
      </w:r>
      <w:r>
        <w:t xml:space="preserve"> </w:t>
      </w:r>
      <w:r>
        <w:rPr>
          <w:rStyle w:val="VerbatimChar"/>
        </w:rPr>
        <w:t xml:space="preserve">eta</w:t>
      </w:r>
      <w:r>
        <w:t xml:space="preserve"> </w:t>
      </w:r>
      <w:r>
        <w:rPr>
          <w:rFonts w:hint="eastAsia"/>
        </w:rPr>
        <w:t xml:space="preserve">是磁场模型或误差表参数。论文中的重点在于：校准过程只依赖</w:t>
      </w:r>
      <w:r>
        <w:t xml:space="preserve"> Hall </w:t>
      </w:r>
      <w:r>
        <w:rPr>
          <w:rFonts w:hint="eastAsia"/>
        </w:rPr>
        <w:t xml:space="preserve">测量和控制输入，不需要昂贵外部编码器作为长期标定工具。</w:t>
      </w:r>
    </w:p>
    <w:bookmarkEnd w:id="11"/>
    <w:bookmarkStart w:id="15" w:name="方法流程框图"/>
    <w:p>
      <w:pPr>
        <w:pStyle w:val="Heading3"/>
      </w:pPr>
      <w:r>
        <w:t xml:space="preserve">1.4 </w:t>
      </w:r>
      <w:r>
        <w:rPr>
          <w:rFonts w:hint="eastAsia"/>
        </w:rPr>
        <w:t xml:space="preserve">方法流程框图</w:t>
      </w:r>
    </w:p>
    <w:p>
      <w:pPr>
        <w:pStyle w:val="CaptionedFigure"/>
      </w:pPr>
      <w:r>
        <w:drawing>
          <wp:inline>
            <wp:extent cx="5334000" cy="1320800"/>
            <wp:effectExtent b="0" l="0" r="0" t="0"/>
            <wp:docPr descr="图 1 闭环自校准与数据驱动补偿流程图" title="" id="13" name="Picture"/>
            <a:graphic>
              <a:graphicData uri="http://schemas.openxmlformats.org/drawingml/2006/picture">
                <pic:pic>
                  <pic:nvPicPr>
                    <pic:cNvPr descr="figures/linear_hall_method1_self_calibration.png" id="14" name="Picture"/>
                    <pic:cNvPicPr>
                      <a:picLocks noChangeArrowheads="1" noChangeAspect="1"/>
                    </pic:cNvPicPr>
                  </pic:nvPicPr>
                  <pic:blipFill>
                    <a:blip r:embed="rId12"/>
                    <a:stretch>
                      <a:fillRect/>
                    </a:stretch>
                  </pic:blipFill>
                  <pic:spPr bwMode="auto">
                    <a:xfrm>
                      <a:off x="0" y="0"/>
                      <a:ext cx="5334000" cy="1320800"/>
                    </a:xfrm>
                    <a:prstGeom prst="rect">
                      <a:avLst/>
                    </a:prstGeom>
                    <a:noFill/>
                    <a:ln w="9525">
                      <a:noFill/>
                      <a:headEnd/>
                      <a:tailEnd/>
                    </a:ln>
                  </pic:spPr>
                </pic:pic>
              </a:graphicData>
            </a:graphic>
          </wp:inline>
        </w:drawing>
      </w:r>
    </w:p>
    <w:p>
      <w:pPr>
        <w:pStyle w:val="ImageCaption"/>
        <w:jc w:val="center"/>
      </w:pPr>
      <w:r>
        <w:rPr>
          <w:rFonts w:hint="eastAsia" w:ascii="宋体" w:hAnsi="宋体" w:eastAsia="宋体"/>
          <w:color w:val="475569"/>
          <w:sz w:val="18"/>
        </w:rPr>
        <w:t xml:space="preserve">图</w:t>
      </w:r>
      <w:r>
        <w:rPr>
          <w:rFonts w:ascii="宋体" w:hAnsi="宋体" w:eastAsia="宋体"/>
          <w:color w:val="475569"/>
          <w:sz w:val="18"/>
        </w:rPr>
        <w:t xml:space="preserve"> 1 </w:t>
      </w:r>
      <w:r>
        <w:rPr>
          <w:rFonts w:hint="eastAsia" w:ascii="宋体" w:hAnsi="宋体" w:eastAsia="宋体"/>
          <w:color w:val="475569"/>
          <w:sz w:val="18"/>
        </w:rPr>
        <w:t xml:space="preserve">闭环自校准与数据驱动补偿流程图</w:t>
      </w:r>
    </w:p>
    <w:p>
      <w:pPr>
        <w:pStyle w:val="BodyText"/>
        <w:jc w:val="center"/>
      </w:pPr>
      <w:r>
        <w:rPr>
          <w:rFonts w:hint="eastAsia" w:ascii="宋体" w:hAnsi="宋体" w:eastAsia="宋体"/>
          <w:i/>
          <w:iCs/>
          <w:color w:val="475569"/>
          <w:sz w:val="18"/>
        </w:rPr>
        <w:t xml:space="preserve">图</w:t>
      </w:r>
      <w:r>
        <w:rPr>
          <w:rFonts w:ascii="宋体" w:hAnsi="宋体" w:eastAsia="宋体"/>
          <w:i/>
          <w:iCs/>
          <w:color w:val="475569"/>
          <w:sz w:val="18"/>
        </w:rPr>
        <w:t xml:space="preserve"> 1 </w:t>
      </w:r>
      <w:r>
        <w:rPr>
          <w:rFonts w:hint="eastAsia" w:ascii="宋体" w:hAnsi="宋体" w:eastAsia="宋体"/>
          <w:i/>
          <w:iCs/>
          <w:color w:val="475569"/>
          <w:sz w:val="18"/>
        </w:rPr>
        <w:t xml:space="preserve">闭环自校准与数据驱动补偿流程图</w:t>
      </w:r>
    </w:p>
    <w:bookmarkEnd w:id="15"/>
    <w:bookmarkStart w:id="16" w:name="方法流程"/>
    <w:p>
      <w:pPr>
        <w:pStyle w:val="Heading3"/>
      </w:pPr>
      <w:r>
        <w:t xml:space="preserve">1.5 </w:t>
      </w:r>
      <w:r>
        <w:rPr>
          <w:rFonts w:hint="eastAsia"/>
        </w:rPr>
        <w:t xml:space="preserve">方法流程</w:t>
      </w:r>
    </w:p>
    <w:p>
      <w:pPr>
        <w:pStyle w:val="FirstParagraph"/>
      </w:pPr>
      <w:r>
        <w:rPr>
          <w:rFonts w:hint="eastAsia"/>
        </w:rPr>
        <w:t xml:space="preserve">工程实现可概括为：</w:t>
      </w:r>
    </w:p>
    <w:p>
      <w:pPr>
        <w:numPr>
          <w:ilvl w:val="0"/>
          <w:numId w:val="1004"/>
        </w:numPr>
        <w:spacing w:line="283" w:lineRule="auto" w:after="80"/>
      </w:pPr>
      <w:r>
        <w:rPr>
          <w:rFonts w:hint="eastAsia" w:ascii="宋体" w:hAnsi="宋体" w:eastAsia="宋体"/>
          <w:sz w:val="21"/>
        </w:rPr>
        <w:t xml:space="preserve">初始解角</w:t>
      </w:r>
      <w:r>
        <w:rPr>
          <w:rFonts w:ascii="宋体" w:hAnsi="宋体" w:eastAsia="宋体"/>
          <w:sz w:val="21"/>
        </w:rPr>
        <w:br/>
      </w:r>
      <w:r>
        <w:rPr>
          <w:rFonts w:hint="eastAsia" w:ascii="宋体" w:hAnsi="宋体" w:eastAsia="宋体"/>
          <w:sz w:val="21"/>
        </w:rPr>
        <w:t xml:space="preserve">采集两路</w:t>
      </w:r>
      <w:r>
        <w:rPr>
          <w:rFonts w:ascii="宋体" w:hAnsi="宋体" w:eastAsia="宋体"/>
          <w:sz w:val="21"/>
        </w:rPr>
        <w:t xml:space="preserve"> Hall </w:t>
      </w:r>
      <w:r>
        <w:rPr>
          <w:rFonts w:hint="eastAsia" w:ascii="宋体" w:hAnsi="宋体" w:eastAsia="宋体"/>
          <w:sz w:val="21"/>
        </w:rPr>
        <w:t xml:space="preserve">电压，进行零偏校正、幅值归一化和相位正交化，构造正弦/余弦通道并得到初始角度。</w:t>
      </w:r>
    </w:p>
    <w:p>
      <w:pPr>
        <w:numPr>
          <w:ilvl w:val="0"/>
          <w:numId w:val="1004"/>
        </w:numPr>
        <w:spacing w:line="283" w:lineRule="auto" w:after="80"/>
      </w:pPr>
      <w:r>
        <w:rPr>
          <w:rFonts w:hint="eastAsia" w:ascii="宋体" w:hAnsi="宋体" w:eastAsia="宋体"/>
          <w:sz w:val="21"/>
        </w:rPr>
        <w:t xml:space="preserve">闭环采集</w:t>
      </w:r>
      <w:r>
        <w:rPr>
          <w:rFonts w:ascii="宋体" w:hAnsi="宋体" w:eastAsia="宋体"/>
          <w:sz w:val="21"/>
        </w:rPr>
        <w:br/>
      </w:r>
      <w:r>
        <w:rPr>
          <w:rFonts w:hint="eastAsia" w:ascii="宋体" w:hAnsi="宋体" w:eastAsia="宋体"/>
          <w:sz w:val="21"/>
        </w:rPr>
        <w:t xml:space="preserve">让电机在安全闭环下按照低速扫角、往复运动或指定轨迹运行，同时记录</w:t>
      </w:r>
      <w:r>
        <w:rPr>
          <w:rFonts w:ascii="宋体" w:hAnsi="宋体" w:eastAsia="宋体"/>
          <w:sz w:val="21"/>
        </w:rPr>
        <w:t xml:space="preserve"> Hall </w:t>
      </w:r>
      <w:r>
        <w:rPr>
          <w:rFonts w:hint="eastAsia" w:ascii="宋体" w:hAnsi="宋体" w:eastAsia="宋体"/>
          <w:sz w:val="21"/>
        </w:rPr>
        <w:t xml:space="preserve">电压、控制输入、估计位置和时间戳。</w:t>
      </w:r>
    </w:p>
    <w:p>
      <w:pPr>
        <w:numPr>
          <w:ilvl w:val="0"/>
          <w:numId w:val="1004"/>
        </w:numPr>
        <w:spacing w:line="283" w:lineRule="auto" w:after="80"/>
      </w:pPr>
      <w:r>
        <w:rPr>
          <w:rFonts w:hint="eastAsia" w:ascii="宋体" w:hAnsi="宋体" w:eastAsia="宋体"/>
          <w:sz w:val="21"/>
        </w:rPr>
        <w:t xml:space="preserve">误差建模</w:t>
      </w:r>
      <w:r>
        <w:rPr>
          <w:rFonts w:ascii="宋体" w:hAnsi="宋体" w:eastAsia="宋体"/>
          <w:sz w:val="21"/>
        </w:rPr>
        <w:br/>
      </w:r>
      <w:r>
        <w:rPr>
          <w:rFonts w:hint="eastAsia" w:ascii="宋体" w:hAnsi="宋体" w:eastAsia="宋体"/>
          <w:sz w:val="21"/>
        </w:rPr>
        <w:t xml:space="preserve">将</w:t>
      </w:r>
      <w:r>
        <w:rPr>
          <w:rFonts w:ascii="宋体" w:hAnsi="宋体" w:eastAsia="宋体"/>
          <w:sz w:val="21"/>
        </w:rPr>
        <w:t xml:space="preserve"> Hall </w:t>
      </w:r>
      <w:r>
        <w:rPr>
          <w:rFonts w:hint="eastAsia" w:ascii="宋体" w:hAnsi="宋体" w:eastAsia="宋体"/>
          <w:sz w:val="21"/>
        </w:rPr>
        <w:t xml:space="preserve">信号看作转子位置的周期性非线性函数，用傅里叶基函数、查表模型、多项式模型或神经网络模型描述误差。</w:t>
      </w:r>
    </w:p>
    <w:p>
      <w:pPr>
        <w:numPr>
          <w:ilvl w:val="0"/>
          <w:numId w:val="1004"/>
        </w:numPr>
        <w:spacing w:line="283" w:lineRule="auto" w:after="80"/>
      </w:pPr>
      <w:r>
        <w:rPr>
          <w:rFonts w:hint="eastAsia" w:ascii="宋体" w:hAnsi="宋体" w:eastAsia="宋体"/>
          <w:sz w:val="21"/>
        </w:rPr>
        <w:t xml:space="preserve">参数辨识</w:t>
      </w:r>
      <w:r>
        <w:rPr>
          <w:rFonts w:ascii="宋体" w:hAnsi="宋体" w:eastAsia="宋体"/>
          <w:sz w:val="21"/>
        </w:rPr>
        <w:br/>
      </w:r>
      <w:r>
        <w:rPr>
          <w:rFonts w:hint="eastAsia" w:ascii="宋体" w:hAnsi="宋体" w:eastAsia="宋体"/>
          <w:sz w:val="21"/>
        </w:rPr>
        <w:t xml:space="preserve">通过最小化模型输出与实际采集数据之间的误差，识别模型参数。对于云台系统，建议优先使用低阶傅里叶模型和查表补偿，因为计算量可控，便于嵌入式实现。</w:t>
      </w:r>
    </w:p>
    <w:p>
      <w:pPr>
        <w:numPr>
          <w:ilvl w:val="0"/>
          <w:numId w:val="1004"/>
        </w:numPr>
        <w:spacing w:line="283" w:lineRule="auto" w:after="80"/>
      </w:pPr>
      <w:r>
        <w:rPr>
          <w:rFonts w:hint="eastAsia" w:ascii="宋体" w:hAnsi="宋体" w:eastAsia="宋体"/>
          <w:sz w:val="21"/>
        </w:rPr>
        <w:t xml:space="preserve">在线补偿</w:t>
      </w:r>
      <w:r>
        <w:rPr>
          <w:rFonts w:ascii="宋体" w:hAnsi="宋体" w:eastAsia="宋体"/>
          <w:sz w:val="21"/>
        </w:rPr>
        <w:br/>
      </w:r>
      <w:r>
        <w:rPr>
          <w:rFonts w:hint="eastAsia" w:ascii="宋体" w:hAnsi="宋体" w:eastAsia="宋体"/>
          <w:sz w:val="21"/>
        </w:rPr>
        <w:t xml:space="preserve">实时运行时，先用</w:t>
      </w:r>
      <w:r>
        <w:rPr>
          <w:rFonts w:ascii="宋体" w:hAnsi="宋体" w:eastAsia="宋体"/>
          <w:sz w:val="21"/>
        </w:rPr>
        <w:t xml:space="preserve"> Hall </w:t>
      </w:r>
      <w:r>
        <w:rPr>
          <w:rFonts w:hint="eastAsia" w:ascii="宋体" w:hAnsi="宋体" w:eastAsia="宋体"/>
          <w:sz w:val="21"/>
        </w:rPr>
        <w:t xml:space="preserve">信号得到粗略角度，再查表或计算补偿量，输出校正后的角度。</w:t>
      </w:r>
    </w:p>
    <w:bookmarkEnd w:id="16"/>
    <w:bookmarkStart w:id="17" w:name="对云台项目的价值"/>
    <w:p>
      <w:pPr>
        <w:pStyle w:val="Heading3"/>
      </w:pPr>
      <w:r>
        <w:t xml:space="preserve">1.6 </w:t>
      </w:r>
      <w:r>
        <w:rPr>
          <w:rFonts w:hint="eastAsia"/>
        </w:rPr>
        <w:t xml:space="preserve">对云台项目的价值</w:t>
      </w:r>
    </w:p>
    <w:p>
      <w:pPr>
        <w:pStyle w:val="FirstParagraph"/>
      </w:pPr>
      <w:r>
        <w:rPr>
          <w:rFonts w:hint="eastAsia"/>
        </w:rPr>
        <w:t xml:space="preserve">该方法适合解决“批量装配后每台电机误差不同”的问题。手持相机云台中，磁钢、传感器和机械结构尺寸都较小，安装偏差和气隙变化不可避免，因此单纯依靠理论模型难以保证高精度。通过自校准，可以把每台电机的个体误差记录成补偿表，使低成本</w:t>
      </w:r>
      <w:r>
        <w:t xml:space="preserve"> Hall </w:t>
      </w:r>
      <w:r>
        <w:rPr>
          <w:rFonts w:hint="eastAsia"/>
        </w:rPr>
        <w:t xml:space="preserve">传感器具备接近高精度位置反馈的能力。</w:t>
      </w:r>
    </w:p>
    <w:bookmarkEnd w:id="17"/>
    <w:bookmarkEnd w:id="18"/>
    <w:bookmarkStart w:id="28" w:name="方法二归一化-谐波重构-扩张状态观测器的复合信号提取方法"/>
    <w:p>
      <w:pPr>
        <w:pStyle w:val="Heading2"/>
      </w:pPr>
      <w:r>
        <w:t xml:space="preserve">2. </w:t>
      </w:r>
      <w:r>
        <w:rPr>
          <w:rFonts w:hint="eastAsia"/>
        </w:rPr>
        <w:t xml:space="preserve">方法二：归一化</w:t>
      </w:r>
      <w:r>
        <w:t xml:space="preserve"> + </w:t>
      </w:r>
      <w:r>
        <w:rPr>
          <w:rFonts w:hint="eastAsia"/>
        </w:rPr>
        <w:t xml:space="preserve">谐波重构</w:t>
      </w:r>
      <w:r>
        <w:t xml:space="preserve"> + </w:t>
      </w:r>
      <w:r>
        <w:rPr>
          <w:rFonts w:hint="eastAsia"/>
        </w:rPr>
        <w:t xml:space="preserve">扩张状态观测器的复合信号提取方法</w:t>
      </w:r>
    </w:p>
    <w:p>
      <w:pPr>
        <w:pStyle w:val="FirstParagraph"/>
      </w:pPr>
      <w:r>
        <w:rPr>
          <w:rFonts w:hint="eastAsia"/>
        </w:rPr>
        <w:t xml:space="preserve">对应论文：</w:t>
      </w:r>
      <w:r>
        <w:rPr>
          <w:rStyle w:val="VerbatimChar"/>
        </w:rPr>
        <w:t xml:space="preserve">Position Extraction of Ultralow-Speed Gimbal Servo System With Linear Hall Sensors</w:t>
      </w:r>
    </w:p>
    <w:bookmarkStart w:id="19" w:name="方法背景-1"/>
    <w:p>
      <w:pPr>
        <w:pStyle w:val="Heading3"/>
      </w:pPr>
      <w:r>
        <w:t xml:space="preserve">2.1 </w:t>
      </w:r>
      <w:r>
        <w:rPr>
          <w:rFonts w:hint="eastAsia"/>
        </w:rPr>
        <w:t xml:space="preserve">方法背景</w:t>
      </w:r>
    </w:p>
    <w:p>
      <w:pPr>
        <w:pStyle w:val="FirstParagraph"/>
      </w:pPr>
      <w:r>
        <w:rPr>
          <w:rFonts w:hint="eastAsia"/>
        </w:rPr>
        <w:t xml:space="preserve">该论文研究对象是超低速云台伺服系统中的线性</w:t>
      </w:r>
      <w:r>
        <w:t xml:space="preserve"> Hall </w:t>
      </w:r>
      <w:r>
        <w:rPr>
          <w:rFonts w:hint="eastAsia"/>
        </w:rPr>
        <w:t xml:space="preserve">位置提取问题，与手持云台项目高度相关。实际</w:t>
      </w:r>
      <w:r>
        <w:t xml:space="preserve"> Hall </w:t>
      </w:r>
      <w:r>
        <w:rPr>
          <w:rFonts w:hint="eastAsia"/>
        </w:rPr>
        <w:t xml:space="preserve">信号存在两个典型问题：</w:t>
      </w:r>
    </w:p>
    <w:p>
      <w:pPr>
        <w:pStyle w:val="Compact"/>
        <w:numPr>
          <w:ilvl w:val="0"/>
          <w:numId w:val="1005"/>
        </w:numPr>
      </w:pPr>
      <w:r>
        <w:rPr>
          <w:rFonts w:hint="eastAsia"/>
        </w:rPr>
        <w:t xml:space="preserve">正弦和余弦两路信号幅值不一致；</w:t>
      </w:r>
    </w:p>
    <w:p>
      <w:pPr>
        <w:pStyle w:val="Compact"/>
        <w:numPr>
          <w:ilvl w:val="0"/>
          <w:numId w:val="1005"/>
        </w:numPr>
      </w:pPr>
      <w:r>
        <w:rPr>
          <w:rFonts w:hint="eastAsia"/>
        </w:rPr>
        <w:t xml:space="preserve">信号中包含明显三次、五次、七次、九次等高次谐波。</w:t>
      </w:r>
    </w:p>
    <w:p>
      <w:pPr>
        <w:pStyle w:val="FirstParagraph"/>
      </w:pPr>
      <w:r>
        <w:rPr>
          <w:rFonts w:hint="eastAsia"/>
        </w:rPr>
        <w:t xml:space="preserve">如果直接使用原始</w:t>
      </w:r>
      <w:r>
        <w:t xml:space="preserve"> Hall </w:t>
      </w:r>
      <w:r>
        <w:rPr>
          <w:rFonts w:hint="eastAsia"/>
        </w:rPr>
        <w:t xml:space="preserve">信号进行</w:t>
      </w:r>
      <w:r>
        <w:t xml:space="preserve"> </w:t>
      </w:r>
      <w:r>
        <w:rPr>
          <w:rStyle w:val="VerbatimChar"/>
        </w:rPr>
        <w:t xml:space="preserve">atan2</w:t>
      </w:r>
      <w:r>
        <w:t xml:space="preserve"> </w:t>
      </w:r>
      <w:r>
        <w:rPr>
          <w:rFonts w:hint="eastAsia"/>
        </w:rPr>
        <w:t xml:space="preserve">解算，角度误差会较大，且低速条件下误差更容易表现为位置抖动。论文提出复合信号提取方法，将信号处理分成三层：信号归一化、谐波模型重构、离散扩张状态观测器补偿。</w:t>
      </w:r>
    </w:p>
    <w:bookmarkEnd w:id="19"/>
    <w:bookmarkStart w:id="20" w:name="核心思想-1"/>
    <w:p>
      <w:pPr>
        <w:pStyle w:val="Heading3"/>
      </w:pPr>
      <w:r>
        <w:t xml:space="preserve">2.2 </w:t>
      </w:r>
      <w:r>
        <w:rPr>
          <w:rFonts w:hint="eastAsia"/>
        </w:rPr>
        <w:t xml:space="preserve">核心思想</w:t>
      </w:r>
    </w:p>
    <w:p>
      <w:pPr>
        <w:pStyle w:val="FirstParagraph"/>
      </w:pPr>
      <w:r>
        <w:rPr>
          <w:rFonts w:hint="eastAsia"/>
        </w:rPr>
        <w:t xml:space="preserve">该方法把</w:t>
      </w:r>
      <w:r>
        <w:t xml:space="preserve"> Hall </w:t>
      </w:r>
      <w:r>
        <w:rPr>
          <w:rFonts w:hint="eastAsia"/>
        </w:rPr>
        <w:t xml:space="preserve">原始信号看成：</w:t>
      </w:r>
    </w:p>
    <w:p>
      <w:pPr>
        <w:pStyle w:val="Compact"/>
        <w:numPr>
          <w:ilvl w:val="0"/>
          <w:numId w:val="1006"/>
        </w:numPr>
      </w:pPr>
      <w:r>
        <w:rPr>
          <w:rFonts w:hint="eastAsia"/>
        </w:rPr>
        <w:t xml:space="preserve">基波信号；</w:t>
      </w:r>
    </w:p>
    <w:p>
      <w:pPr>
        <w:pStyle w:val="Compact"/>
        <w:numPr>
          <w:ilvl w:val="0"/>
          <w:numId w:val="1006"/>
        </w:numPr>
      </w:pPr>
      <w:r>
        <w:rPr>
          <w:rFonts w:hint="eastAsia"/>
        </w:rPr>
        <w:t xml:space="preserve">幅值不一致误差；</w:t>
      </w:r>
    </w:p>
    <w:p>
      <w:pPr>
        <w:pStyle w:val="Compact"/>
        <w:numPr>
          <w:ilvl w:val="0"/>
          <w:numId w:val="1006"/>
        </w:numPr>
      </w:pPr>
      <w:r>
        <w:rPr>
          <w:rFonts w:hint="eastAsia"/>
        </w:rPr>
        <w:t xml:space="preserve">可建模的高次谐波；</w:t>
      </w:r>
    </w:p>
    <w:p>
      <w:pPr>
        <w:pStyle w:val="Compact"/>
        <w:numPr>
          <w:ilvl w:val="0"/>
          <w:numId w:val="1006"/>
        </w:numPr>
      </w:pPr>
      <w:r>
        <w:rPr>
          <w:rFonts w:hint="eastAsia"/>
        </w:rPr>
        <w:t xml:space="preserve">未建模噪声和残余扰动。</w:t>
      </w:r>
    </w:p>
    <w:p>
      <w:pPr>
        <w:pStyle w:val="FirstParagraph"/>
      </w:pPr>
      <w:r>
        <w:rPr>
          <w:rFonts w:hint="eastAsia"/>
        </w:rPr>
        <w:t xml:space="preserve">处理思路是先把幅值问题消除，再把主要谐波通过模型抵消，最后用观测器估计残余扰动。其结构可以理解为：</w:t>
      </w:r>
    </w:p>
    <w:p>
      <w:pPr>
        <w:pStyle w:val="BodyText"/>
      </w:pPr>
      <w:r>
        <w:rPr>
          <w:rStyle w:val="VerbatimChar"/>
        </w:rPr>
        <w:t xml:space="preserve">Hall </w:t>
      </w:r>
      <w:r>
        <w:rPr>
          <w:rStyle w:val="VerbatimChar"/>
          <w:rFonts w:hint="eastAsia"/>
        </w:rPr>
        <w:t xml:space="preserve">原始信号</w:t>
      </w:r>
      <w:r>
        <w:rPr>
          <w:rStyle w:val="VerbatimChar"/>
        </w:rPr>
        <w:t xml:space="preserve"> -&gt; </w:t>
      </w:r>
      <w:r>
        <w:rPr>
          <w:rStyle w:val="VerbatimChar"/>
          <w:rFonts w:hint="eastAsia"/>
        </w:rPr>
        <w:t xml:space="preserve">幅值归一化</w:t>
      </w:r>
      <w:r>
        <w:rPr>
          <w:rStyle w:val="VerbatimChar"/>
        </w:rPr>
        <w:t xml:space="preserve"> -&gt; </w:t>
      </w:r>
      <w:r>
        <w:rPr>
          <w:rStyle w:val="VerbatimChar"/>
          <w:rFonts w:hint="eastAsia"/>
        </w:rPr>
        <w:t xml:space="preserve">谐波重构/抵消</w:t>
      </w:r>
      <w:r>
        <w:rPr>
          <w:rStyle w:val="VerbatimChar"/>
        </w:rPr>
        <w:t xml:space="preserve"> -&gt; ESO </w:t>
      </w:r>
      <w:r>
        <w:rPr>
          <w:rStyle w:val="VerbatimChar"/>
          <w:rFonts w:hint="eastAsia"/>
        </w:rPr>
        <w:t xml:space="preserve">残差补偿</w:t>
      </w:r>
      <w:r>
        <w:rPr>
          <w:rStyle w:val="VerbatimChar"/>
        </w:rPr>
        <w:t xml:space="preserve"> -&gt; atan2 </w:t>
      </w:r>
      <w:r>
        <w:rPr>
          <w:rStyle w:val="VerbatimChar"/>
          <w:rFonts w:hint="eastAsia"/>
        </w:rPr>
        <w:t xml:space="preserve">输出角度</w:t>
      </w:r>
    </w:p>
    <w:bookmarkEnd w:id="20"/>
    <w:bookmarkStart w:id="21" w:name="核心公式-1"/>
    <w:p>
      <w:pPr>
        <w:pStyle w:val="Heading3"/>
      </w:pPr>
      <w:r>
        <w:t xml:space="preserve">2.3 </w:t>
      </w:r>
      <w:r>
        <w:rPr>
          <w:rFonts w:hint="eastAsia"/>
        </w:rPr>
        <w:t xml:space="preserve">核心公式</w:t>
      </w:r>
    </w:p>
    <w:p>
      <w:pPr>
        <w:pStyle w:val="FirstParagraph"/>
      </w:pPr>
      <w:r>
        <w:rPr>
          <w:rFonts w:hint="eastAsia"/>
        </w:rPr>
        <w:t xml:space="preserve">两路线性</w:t>
      </w:r>
      <w:r>
        <w:t xml:space="preserve"> Hall </w:t>
      </w:r>
      <w:r>
        <w:rPr>
          <w:rFonts w:hint="eastAsia"/>
        </w:rPr>
        <w:t xml:space="preserve">信号可近似表示为含奇次谐波的正余弦信号：</w:t>
      </w:r>
    </w:p>
    <w:p>
      <w:pPr>
        <w:pStyle w:val="BodyText"/>
      </w:pPr>
      <m:oMathPara>
        <m:oMathParaPr>
          <m:jc m:val="center"/>
        </m:oMathParaPr>
        <m:oMath>
          <m:sSub>
            <m:e>
              <m:r>
                <m:t>H</m:t>
              </m:r>
            </m:e>
            <m:sub>
              <m:r>
                <m:t>s</m:t>
              </m:r>
            </m:sub>
          </m:sSub>
          <m:r>
            <m:rPr>
              <m:sty m:val="p"/>
            </m:rPr>
            <m:t>(</m:t>
          </m:r>
          <m:r>
            <m:t>k</m:t>
          </m:r>
          <m:r>
            <m:rPr>
              <m:sty m:val="p"/>
            </m:rPr>
            <m:t>)</m:t>
          </m:r>
          <m:r>
            <m:rPr>
              <m:sty m:val="p"/>
            </m:rPr>
            <m:t>=</m:t>
          </m:r>
          <m:r>
            <m:t>α</m:t>
          </m:r>
          <m:d>
            <m:dPr>
              <m:begChr m:val="["/>
              <m:sepChr m:val=""/>
              <m:endChr m:val="]"/>
              <m:grow/>
            </m:dPr>
            <m:e>
              <m:r>
                <m:rPr>
                  <m:sty m:val="p"/>
                </m:rPr>
                <m:t>sin</m:t>
              </m:r>
              <m:r>
                <m:t>θ</m:t>
              </m:r>
              <m:r>
                <m:rPr>
                  <m:sty m:val="p"/>
                </m:rPr>
                <m:t>(</m:t>
              </m:r>
              <m:r>
                <m:t>k</m:t>
              </m:r>
              <m:r>
                <m:rPr>
                  <m:sty m:val="p"/>
                </m:rPr>
                <m:t>)</m:t>
              </m:r>
              <m:r>
                <m:rPr>
                  <m:sty m:val="p"/>
                </m:rPr>
                <m:t>+</m:t>
              </m:r>
              <m:nary>
                <m:naryPr>
                  <m:chr m:val="∑"/>
                  <m:limLoc m:val="undOvr"/>
                  <m:subHide m:val="off"/>
                  <m:supHide m:val="on"/>
                </m:naryPr>
                <m:sub>
                  <m:r>
                    <m:t>i</m:t>
                  </m:r>
                  <m:r>
                    <m:rPr>
                      <m:sty m:val="p"/>
                    </m:rPr>
                    <m:t>∈</m:t>
                  </m:r>
                  <m:r>
                    <m:rPr>
                      <m:sty m:val="p"/>
                    </m:rPr>
                    <m:t>{</m:t>
                  </m:r>
                  <m:r>
                    <m:t>3</m:t>
                  </m:r>
                  <m:r>
                    <m:rPr>
                      <m:sty m:val="p"/>
                    </m:rPr>
                    <m:t>,</m:t>
                  </m:r>
                  <m:r>
                    <m:t>5</m:t>
                  </m:r>
                  <m:r>
                    <m:rPr>
                      <m:sty m:val="p"/>
                    </m:rPr>
                    <m:t>,</m:t>
                  </m:r>
                  <m:r>
                    <m:t>7</m:t>
                  </m:r>
                  <m:r>
                    <m:rPr>
                      <m:sty m:val="p"/>
                    </m:rPr>
                    <m:t>,</m:t>
                  </m:r>
                  <m:r>
                    <m:t>9</m:t>
                  </m:r>
                  <m:r>
                    <m:rPr>
                      <m:sty m:val="p"/>
                    </m:rPr>
                    <m:t>}</m:t>
                  </m:r>
                </m:sub>
                <m:sup>
                  <m:r>
                    <m:t>​</m:t>
                  </m:r>
                </m:sup>
                <m:e>
                  <m:sSub>
                    <m:e>
                      <m:r>
                        <m:t>A</m:t>
                      </m:r>
                    </m:e>
                    <m:sub>
                      <m:r>
                        <m:t>i</m:t>
                      </m:r>
                    </m:sub>
                  </m:sSub>
                </m:e>
              </m:nary>
              <m:r>
                <m:rPr>
                  <m:sty m:val="p"/>
                </m:rPr>
                <m:t>sin</m:t>
              </m:r>
              <m:r>
                <m:rPr>
                  <m:sty m:val="p"/>
                </m:rPr>
                <m:t>(</m:t>
              </m:r>
              <m:r>
                <m:t>i</m:t>
              </m:r>
              <m:r>
                <m:t>θ</m:t>
              </m:r>
              <m:r>
                <m:rPr>
                  <m:sty m:val="p"/>
                </m:rPr>
                <m:t>(</m:t>
              </m:r>
              <m:r>
                <m:t>k</m:t>
              </m:r>
              <m:r>
                <m:rPr>
                  <m:sty m:val="p"/>
                </m:rPr>
                <m:t>)</m:t>
              </m:r>
              <m:r>
                <m:rPr>
                  <m:sty m:val="p"/>
                </m:rPr>
                <m:t>)</m:t>
              </m:r>
            </m:e>
          </m:d>
        </m:oMath>
      </m:oMathPara>
    </w:p>
    <w:p>
      <w:pPr>
        <w:pStyle w:val="FirstParagraph"/>
      </w:pPr>
      <m:oMathPara>
        <m:oMathParaPr>
          <m:jc m:val="center"/>
        </m:oMathParaPr>
        <m:oMath>
          <m:sSub>
            <m:e>
              <m:r>
                <m:t>H</m:t>
              </m:r>
            </m:e>
            <m:sub>
              <m:r>
                <m:t>c</m:t>
              </m:r>
            </m:sub>
          </m:sSub>
          <m:r>
            <m:rPr>
              <m:sty m:val="p"/>
            </m:rPr>
            <m:t>(</m:t>
          </m:r>
          <m:r>
            <m:t>k</m:t>
          </m:r>
          <m:r>
            <m:rPr>
              <m:sty m:val="p"/>
            </m:rPr>
            <m:t>)</m:t>
          </m:r>
          <m:r>
            <m:rPr>
              <m:sty m:val="p"/>
            </m:rPr>
            <m:t>=</m:t>
          </m:r>
          <m:r>
            <m:t>β</m:t>
          </m:r>
          <m:d>
            <m:dPr>
              <m:begChr m:val="["/>
              <m:sepChr m:val=""/>
              <m:endChr m:val="]"/>
              <m:grow/>
            </m:dPr>
            <m:e>
              <m:r>
                <m:rPr>
                  <m:sty m:val="p"/>
                </m:rPr>
                <m:t>cos</m:t>
              </m:r>
              <m:r>
                <m:t>θ</m:t>
              </m:r>
              <m:r>
                <m:rPr>
                  <m:sty m:val="p"/>
                </m:rPr>
                <m:t>(</m:t>
              </m:r>
              <m:r>
                <m:t>k</m:t>
              </m:r>
              <m:r>
                <m:rPr>
                  <m:sty m:val="p"/>
                </m:rPr>
                <m:t>)</m:t>
              </m:r>
              <m:r>
                <m:rPr>
                  <m:sty m:val="p"/>
                </m:rPr>
                <m:t>+</m:t>
              </m:r>
              <m:nary>
                <m:naryPr>
                  <m:chr m:val="∑"/>
                  <m:limLoc m:val="undOvr"/>
                  <m:subHide m:val="off"/>
                  <m:supHide m:val="on"/>
                </m:naryPr>
                <m:sub>
                  <m:r>
                    <m:t>i</m:t>
                  </m:r>
                  <m:r>
                    <m:rPr>
                      <m:sty m:val="p"/>
                    </m:rPr>
                    <m:t>∈</m:t>
                  </m:r>
                  <m:r>
                    <m:rPr>
                      <m:sty m:val="p"/>
                    </m:rPr>
                    <m:t>{</m:t>
                  </m:r>
                  <m:r>
                    <m:t>3</m:t>
                  </m:r>
                  <m:r>
                    <m:rPr>
                      <m:sty m:val="p"/>
                    </m:rPr>
                    <m:t>,</m:t>
                  </m:r>
                  <m:r>
                    <m:t>5</m:t>
                  </m:r>
                  <m:r>
                    <m:rPr>
                      <m:sty m:val="p"/>
                    </m:rPr>
                    <m:t>,</m:t>
                  </m:r>
                  <m:r>
                    <m:t>7</m:t>
                  </m:r>
                  <m:r>
                    <m:rPr>
                      <m:sty m:val="p"/>
                    </m:rPr>
                    <m:t>,</m:t>
                  </m:r>
                  <m:r>
                    <m:t>9</m:t>
                  </m:r>
                  <m:r>
                    <m:rPr>
                      <m:sty m:val="p"/>
                    </m:rPr>
                    <m:t>}</m:t>
                  </m:r>
                </m:sub>
                <m:sup>
                  <m:r>
                    <m:t>​</m:t>
                  </m:r>
                </m:sup>
                <m:e>
                  <m:sSub>
                    <m:e>
                      <m:r>
                        <m:t>B</m:t>
                      </m:r>
                    </m:e>
                    <m:sub>
                      <m:r>
                        <m:t>i</m:t>
                      </m:r>
                    </m:sub>
                  </m:sSub>
                </m:e>
              </m:nary>
              <m:r>
                <m:rPr>
                  <m:sty m:val="p"/>
                </m:rPr>
                <m:t>cos</m:t>
              </m:r>
              <m:r>
                <m:rPr>
                  <m:sty m:val="p"/>
                </m:rPr>
                <m:t>(</m:t>
              </m:r>
              <m:r>
                <m:t>i</m:t>
              </m:r>
              <m:r>
                <m:t>θ</m:t>
              </m:r>
              <m:r>
                <m:rPr>
                  <m:sty m:val="p"/>
                </m:rPr>
                <m:t>(</m:t>
              </m:r>
              <m:r>
                <m:t>k</m:t>
              </m:r>
              <m:r>
                <m:rPr>
                  <m:sty m:val="p"/>
                </m:rPr>
                <m:t>)</m:t>
              </m:r>
              <m:r>
                <m:rPr>
                  <m:sty m:val="p"/>
                </m:rPr>
                <m:t>)</m:t>
              </m:r>
            </m:e>
          </m:d>
        </m:oMath>
      </m:oMathPara>
    </w:p>
    <w:p>
      <w:pPr>
        <w:pStyle w:val="FirstParagraph"/>
      </w:pPr>
      <w:r>
        <w:rPr>
          <w:rFonts w:hint="eastAsia"/>
        </w:rPr>
        <w:t xml:space="preserve">其中</w:t>
      </w:r>
      <w:r>
        <w:t xml:space="preserve"> </w:t>
      </w:r>
      <w:r>
        <w:rPr>
          <w:rStyle w:val="VerbatimChar"/>
        </w:rPr>
        <w:t xml:space="preserve">alpha</w:t>
      </w:r>
      <w:r>
        <w:t xml:space="preserve">、</w:t>
      </w:r>
      <w:r>
        <w:rPr>
          <w:rStyle w:val="VerbatimChar"/>
        </w:rPr>
        <w:t xml:space="preserve">beta</w:t>
      </w:r>
      <w:r>
        <w:t xml:space="preserve"> </w:t>
      </w:r>
      <w:r>
        <w:rPr>
          <w:rFonts w:hint="eastAsia"/>
        </w:rPr>
        <w:t xml:space="preserve">表示两路信号幅值不一致，</w:t>
      </w:r>
      <w:r>
        <w:rPr>
          <w:rStyle w:val="VerbatimChar"/>
        </w:rPr>
        <w:t xml:space="preserve">A_i</w:t>
      </w:r>
      <w:r>
        <w:t xml:space="preserve">、</w:t>
      </w:r>
      <w:r>
        <w:rPr>
          <w:rStyle w:val="VerbatimChar"/>
        </w:rPr>
        <w:t xml:space="preserve">B_i</w:t>
      </w:r>
      <w:r>
        <w:t xml:space="preserve"> </w:t>
      </w:r>
      <w:r>
        <w:rPr>
          <w:rFonts w:hint="eastAsia"/>
        </w:rPr>
        <w:t xml:space="preserve">表示各阶谐波系数。</w:t>
      </w:r>
    </w:p>
    <w:p>
      <w:pPr>
        <w:pStyle w:val="BodyText"/>
      </w:pPr>
      <w:r>
        <w:rPr>
          <w:rFonts w:hint="eastAsia"/>
        </w:rPr>
        <w:t xml:space="preserve">原始角度为：</w:t>
      </w:r>
    </w:p>
    <w:p>
      <w:pPr>
        <w:pStyle w:val="BodyText"/>
      </w:pPr>
      <m:oMathPara>
        <m:oMathParaPr>
          <m:jc m:val="center"/>
        </m:oMathParaPr>
        <m:oMath>
          <m:sSub>
            <m:e>
              <m:r>
                <m:t>θ</m:t>
              </m:r>
            </m:e>
            <m:sub>
              <m:r>
                <m:t>r</m:t>
              </m:r>
            </m:sub>
          </m:sSub>
          <m:r>
            <m:rPr>
              <m:sty m:val="p"/>
            </m:rPr>
            <m:t>(</m:t>
          </m:r>
          <m:r>
            <m:t>k</m:t>
          </m:r>
          <m:r>
            <m:rPr>
              <m:sty m:val="p"/>
            </m:rPr>
            <m:t>)</m:t>
          </m:r>
          <m:r>
            <m:rPr>
              <m:sty m:val="p"/>
            </m:rPr>
            <m:t>=</m:t>
          </m:r>
          <m:r>
            <m:rPr>
              <m:sty m:val="p"/>
            </m:rPr>
            <m:t>atan2</m:t>
          </m:r>
          <m:d>
            <m:dPr>
              <m:begChr m:val="("/>
              <m:sepChr m:val=""/>
              <m:endChr m:val=")"/>
              <m:grow/>
            </m:dPr>
            <m:e>
              <m:sSub>
                <m:e>
                  <m:r>
                    <m:t>H</m:t>
                  </m:r>
                </m:e>
                <m:sub>
                  <m:r>
                    <m:t>s</m:t>
                  </m:r>
                </m:sub>
              </m:sSub>
              <m:r>
                <m:rPr>
                  <m:sty m:val="p"/>
                </m:rPr>
                <m:t>(</m:t>
              </m:r>
              <m:r>
                <m:t>k</m:t>
              </m:r>
              <m:r>
                <m:rPr>
                  <m:sty m:val="p"/>
                </m:rPr>
                <m:t>)</m:t>
              </m:r>
              <m:r>
                <m:rPr>
                  <m:sty m:val="p"/>
                </m:rPr>
                <m:t>,</m:t>
              </m:r>
              <m:sSub>
                <m:e>
                  <m:r>
                    <m:t>H</m:t>
                  </m:r>
                </m:e>
                <m:sub>
                  <m:r>
                    <m:t>c</m:t>
                  </m:r>
                </m:sub>
              </m:sSub>
              <m:r>
                <m:rPr>
                  <m:sty m:val="p"/>
                </m:rPr>
                <m:t>(</m:t>
              </m:r>
              <m:r>
                <m:t>k</m:t>
              </m:r>
              <m:r>
                <m:rPr>
                  <m:sty m:val="p"/>
                </m:rPr>
                <m:t>)</m:t>
              </m:r>
            </m:e>
          </m:d>
        </m:oMath>
      </m:oMathPara>
    </w:p>
    <w:p>
      <w:pPr>
        <w:pStyle w:val="FirstParagraph"/>
      </w:pPr>
      <w:r>
        <w:rPr>
          <w:rFonts w:hint="eastAsia"/>
        </w:rPr>
        <w:t xml:space="preserve">幅值归一化后得到：</w:t>
      </w:r>
    </w:p>
    <w:p>
      <w:pPr>
        <w:pStyle w:val="BodyText"/>
      </w:pPr>
      <m:oMathPara>
        <m:oMathParaPr>
          <m:jc m:val="center"/>
        </m:oMathParaPr>
        <m:oMath>
          <m:sSub>
            <m:e>
              <m:r>
                <m:t>H</m:t>
              </m:r>
            </m:e>
            <m:sub>
              <m:r>
                <m:t>s</m:t>
              </m:r>
              <m:r>
                <m:t>1</m:t>
              </m:r>
            </m:sub>
          </m:sSub>
          <m:r>
            <m:rPr>
              <m:sty m:val="p"/>
            </m:rPr>
            <m:t>(</m:t>
          </m:r>
          <m:r>
            <m:t>k</m:t>
          </m:r>
          <m:r>
            <m:rPr>
              <m:sty m:val="p"/>
            </m:rPr>
            <m:t>)</m:t>
          </m:r>
          <m:r>
            <m:rPr>
              <m:sty m:val="p"/>
            </m:rPr>
            <m:t>=</m:t>
          </m:r>
          <m:r>
            <m:rPr>
              <m:sty m:val="p"/>
            </m:rPr>
            <m:t>sin</m:t>
          </m:r>
          <m:sSub>
            <m:e>
              <m:r>
                <m:t>θ</m:t>
              </m:r>
            </m:e>
            <m:sub>
              <m:r>
                <m:t>r</m:t>
              </m:r>
            </m:sub>
          </m:sSub>
          <m:r>
            <m:rPr>
              <m:sty m:val="p"/>
            </m:rPr>
            <m:t>(</m:t>
          </m:r>
          <m:r>
            <m:t>k</m:t>
          </m:r>
          <m:r>
            <m:rPr>
              <m:sty m:val="p"/>
            </m:rPr>
            <m:t>)</m:t>
          </m:r>
          <m:r>
            <m:rPr>
              <m:sty m:val="p"/>
            </m:rPr>
            <m:t>,</m:t>
          </m:r>
          <m:r>
            <m:t>  </m:t>
          </m:r>
          <m:sSub>
            <m:e>
              <m:r>
                <m:t>H</m:t>
              </m:r>
            </m:e>
            <m:sub>
              <m:r>
                <m:t>c</m:t>
              </m:r>
              <m:r>
                <m:t>1</m:t>
              </m:r>
            </m:sub>
          </m:sSub>
          <m:r>
            <m:rPr>
              <m:sty m:val="p"/>
            </m:rPr>
            <m:t>(</m:t>
          </m:r>
          <m:r>
            <m:t>k</m:t>
          </m:r>
          <m:r>
            <m:rPr>
              <m:sty m:val="p"/>
            </m:rPr>
            <m:t>)</m:t>
          </m:r>
          <m:r>
            <m:rPr>
              <m:sty m:val="p"/>
            </m:rPr>
            <m:t>=</m:t>
          </m:r>
          <m:r>
            <m:rPr>
              <m:sty m:val="p"/>
            </m:rPr>
            <m:t>cos</m:t>
          </m:r>
          <m:sSub>
            <m:e>
              <m:r>
                <m:t>θ</m:t>
              </m:r>
            </m:e>
            <m:sub>
              <m:r>
                <m:t>r</m:t>
              </m:r>
            </m:sub>
          </m:sSub>
          <m:r>
            <m:rPr>
              <m:sty m:val="p"/>
            </m:rPr>
            <m:t>(</m:t>
          </m:r>
          <m:r>
            <m:t>k</m:t>
          </m:r>
          <m:r>
            <m:rPr>
              <m:sty m:val="p"/>
            </m:rPr>
            <m:t>)</m:t>
          </m:r>
        </m:oMath>
      </m:oMathPara>
    </w:p>
    <w:p>
      <w:pPr>
        <w:pStyle w:val="FirstParagraph"/>
      </w:pPr>
      <w:r>
        <w:rPr>
          <w:rFonts w:hint="eastAsia"/>
        </w:rPr>
        <w:t xml:space="preserve">归一化后的信号仍含有高次谐波，可写为：</w:t>
      </w:r>
    </w:p>
    <w:p>
      <w:pPr>
        <w:pStyle w:val="BodyText"/>
      </w:pPr>
      <m:oMathPara>
        <m:oMathParaPr>
          <m:jc m:val="center"/>
        </m:oMathParaPr>
        <m:oMath>
          <m:sSub>
            <m:e>
              <m:r>
                <m:t>H</m:t>
              </m:r>
            </m:e>
            <m:sub>
              <m:r>
                <m:t>s</m:t>
              </m:r>
              <m:r>
                <m:t>1</m:t>
              </m:r>
            </m:sub>
          </m:sSub>
          <m:r>
            <m:rPr>
              <m:sty m:val="p"/>
            </m:rPr>
            <m:t>(</m:t>
          </m:r>
          <m:r>
            <m:t>k</m:t>
          </m:r>
          <m:r>
            <m:rPr>
              <m:sty m:val="p"/>
            </m:rPr>
            <m:t>)</m:t>
          </m:r>
          <m:r>
            <m:rPr>
              <m:sty m:val="p"/>
            </m:rPr>
            <m:t>=</m:t>
          </m:r>
          <m:r>
            <m:rPr>
              <m:sty m:val="p"/>
            </m:rPr>
            <m:t>sin</m:t>
          </m:r>
          <m:r>
            <m:t>θ</m:t>
          </m:r>
          <m:r>
            <m:rPr>
              <m:sty m:val="p"/>
            </m:rPr>
            <m:t>(</m:t>
          </m:r>
          <m:r>
            <m:t>k</m:t>
          </m:r>
          <m:r>
            <m:rPr>
              <m:sty m:val="p"/>
            </m:rPr>
            <m:t>)</m:t>
          </m:r>
          <m:r>
            <m:rPr>
              <m:sty m:val="p"/>
            </m:rPr>
            <m:t>+</m:t>
          </m:r>
          <m:nary>
            <m:naryPr>
              <m:chr m:val="∑"/>
              <m:limLoc m:val="undOvr"/>
              <m:subHide m:val="off"/>
              <m:supHide m:val="on"/>
            </m:naryPr>
            <m:sub>
              <m:r>
                <m:t>i</m:t>
              </m:r>
              <m:r>
                <m:rPr>
                  <m:sty m:val="p"/>
                </m:rPr>
                <m:t>∈</m:t>
              </m:r>
              <m:r>
                <m:rPr>
                  <m:sty m:val="p"/>
                </m:rPr>
                <m:t>{</m:t>
              </m:r>
              <m:r>
                <m:t>3</m:t>
              </m:r>
              <m:r>
                <m:rPr>
                  <m:sty m:val="p"/>
                </m:rPr>
                <m:t>,</m:t>
              </m:r>
              <m:r>
                <m:t>5</m:t>
              </m:r>
              <m:r>
                <m:rPr>
                  <m:sty m:val="p"/>
                </m:rPr>
                <m:t>,</m:t>
              </m:r>
              <m:r>
                <m:t>7</m:t>
              </m:r>
              <m:r>
                <m:rPr>
                  <m:sty m:val="p"/>
                </m:rPr>
                <m:t>,</m:t>
              </m:r>
              <m:r>
                <m:t>9</m:t>
              </m:r>
              <m:r>
                <m:rPr>
                  <m:sty m:val="p"/>
                </m:rPr>
                <m:t>}</m:t>
              </m:r>
            </m:sub>
            <m:sup>
              <m:r>
                <m:t>​</m:t>
              </m:r>
            </m:sup>
            <m:e>
              <m:sSub>
                <m:e>
                  <m:r>
                    <m:t>C</m:t>
                  </m:r>
                </m:e>
                <m:sub>
                  <m:r>
                    <m:t>i</m:t>
                  </m:r>
                </m:sub>
              </m:sSub>
            </m:e>
          </m:nary>
          <m:r>
            <m:rPr>
              <m:sty m:val="p"/>
            </m:rPr>
            <m:t>sin</m:t>
          </m:r>
          <m:r>
            <m:rPr>
              <m:sty m:val="p"/>
            </m:rPr>
            <m:t>(</m:t>
          </m:r>
          <m:r>
            <m:t>i</m:t>
          </m:r>
          <m:r>
            <m:t>θ</m:t>
          </m:r>
          <m:r>
            <m:rPr>
              <m:sty m:val="p"/>
            </m:rPr>
            <m:t>(</m:t>
          </m:r>
          <m:r>
            <m:t>k</m:t>
          </m:r>
          <m:r>
            <m:rPr>
              <m:sty m:val="p"/>
            </m:rPr>
            <m:t>)</m:t>
          </m:r>
          <m:r>
            <m:rPr>
              <m:sty m:val="p"/>
            </m:rPr>
            <m:t>)</m:t>
          </m:r>
        </m:oMath>
      </m:oMathPara>
    </w:p>
    <w:p>
      <w:pPr>
        <w:pStyle w:val="FirstParagraph"/>
      </w:pPr>
      <m:oMathPara>
        <m:oMathParaPr>
          <m:jc m:val="center"/>
        </m:oMathParaPr>
        <m:oMath>
          <m:sSub>
            <m:e>
              <m:r>
                <m:t>H</m:t>
              </m:r>
            </m:e>
            <m:sub>
              <m:r>
                <m:t>c</m:t>
              </m:r>
              <m:r>
                <m:t>1</m:t>
              </m:r>
            </m:sub>
          </m:sSub>
          <m:r>
            <m:rPr>
              <m:sty m:val="p"/>
            </m:rPr>
            <m:t>(</m:t>
          </m:r>
          <m:r>
            <m:t>k</m:t>
          </m:r>
          <m:r>
            <m:rPr>
              <m:sty m:val="p"/>
            </m:rPr>
            <m:t>)</m:t>
          </m:r>
          <m:r>
            <m:rPr>
              <m:sty m:val="p"/>
            </m:rPr>
            <m:t>=</m:t>
          </m:r>
          <m:r>
            <m:rPr>
              <m:sty m:val="p"/>
            </m:rPr>
            <m:t>cos</m:t>
          </m:r>
          <m:r>
            <m:t>θ</m:t>
          </m:r>
          <m:r>
            <m:rPr>
              <m:sty m:val="p"/>
            </m:rPr>
            <m:t>(</m:t>
          </m:r>
          <m:r>
            <m:t>k</m:t>
          </m:r>
          <m:r>
            <m:rPr>
              <m:sty m:val="p"/>
            </m:rPr>
            <m:t>)</m:t>
          </m:r>
          <m:r>
            <m:rPr>
              <m:sty m:val="p"/>
            </m:rPr>
            <m:t>+</m:t>
          </m:r>
          <m:nary>
            <m:naryPr>
              <m:chr m:val="∑"/>
              <m:limLoc m:val="undOvr"/>
              <m:subHide m:val="off"/>
              <m:supHide m:val="on"/>
            </m:naryPr>
            <m:sub>
              <m:r>
                <m:t>i</m:t>
              </m:r>
              <m:r>
                <m:rPr>
                  <m:sty m:val="p"/>
                </m:rPr>
                <m:t>∈</m:t>
              </m:r>
              <m:r>
                <m:rPr>
                  <m:sty m:val="p"/>
                </m:rPr>
                <m:t>{</m:t>
              </m:r>
              <m:r>
                <m:t>3</m:t>
              </m:r>
              <m:r>
                <m:rPr>
                  <m:sty m:val="p"/>
                </m:rPr>
                <m:t>,</m:t>
              </m:r>
              <m:r>
                <m:t>5</m:t>
              </m:r>
              <m:r>
                <m:rPr>
                  <m:sty m:val="p"/>
                </m:rPr>
                <m:t>,</m:t>
              </m:r>
              <m:r>
                <m:t>7</m:t>
              </m:r>
              <m:r>
                <m:rPr>
                  <m:sty m:val="p"/>
                </m:rPr>
                <m:t>,</m:t>
              </m:r>
              <m:r>
                <m:t>9</m:t>
              </m:r>
              <m:r>
                <m:rPr>
                  <m:sty m:val="p"/>
                </m:rPr>
                <m:t>}</m:t>
              </m:r>
            </m:sub>
            <m:sup>
              <m:r>
                <m:t>​</m:t>
              </m:r>
            </m:sup>
            <m:e>
              <m:sSub>
                <m:e>
                  <m:r>
                    <m:t>C</m:t>
                  </m:r>
                </m:e>
                <m:sub>
                  <m:r>
                    <m:t>i</m:t>
                  </m:r>
                </m:sub>
              </m:sSub>
            </m:e>
          </m:nary>
          <m:r>
            <m:rPr>
              <m:sty m:val="p"/>
            </m:rPr>
            <m:t>cos</m:t>
          </m:r>
          <m:r>
            <m:rPr>
              <m:sty m:val="p"/>
            </m:rPr>
            <m:t>(</m:t>
          </m:r>
          <m:r>
            <m:t>i</m:t>
          </m:r>
          <m:r>
            <m:t>θ</m:t>
          </m:r>
          <m:r>
            <m:rPr>
              <m:sty m:val="p"/>
            </m:rPr>
            <m:t>(</m:t>
          </m:r>
          <m:r>
            <m:t>k</m:t>
          </m:r>
          <m:r>
            <m:rPr>
              <m:sty m:val="p"/>
            </m:rPr>
            <m:t>)</m:t>
          </m:r>
          <m:r>
            <m:rPr>
              <m:sty m:val="p"/>
            </m:rPr>
            <m:t>)</m:t>
          </m:r>
        </m:oMath>
      </m:oMathPara>
    </w:p>
    <w:p>
      <w:pPr>
        <w:pStyle w:val="FirstParagraph"/>
      </w:pPr>
      <w:r>
        <w:rPr>
          <w:rFonts w:hint="eastAsia"/>
        </w:rPr>
        <w:t xml:space="preserve">谐波重构利用多角公式，例如：</w:t>
      </w:r>
    </w:p>
    <w:p>
      <w:pPr>
        <w:pStyle w:val="BodyText"/>
      </w:pPr>
      <m:oMathPara>
        <m:oMathParaPr>
          <m:jc m:val="center"/>
        </m:oMathParaPr>
        <m:oMath>
          <m:r>
            <m:rPr>
              <m:sty m:val="p"/>
            </m:rPr>
            <m:t>sin</m:t>
          </m:r>
          <m:r>
            <m:rPr>
              <m:sty m:val="p"/>
            </m:rPr>
            <m:t>(</m:t>
          </m:r>
          <m:r>
            <m:t>3</m:t>
          </m:r>
          <m:r>
            <m:t>θ</m:t>
          </m:r>
          <m:r>
            <m:rPr>
              <m:sty m:val="p"/>
            </m:rPr>
            <m:t>)</m:t>
          </m:r>
          <m:r>
            <m:rPr>
              <m:sty m:val="p"/>
            </m:rPr>
            <m:t>=</m:t>
          </m:r>
          <m:r>
            <m:t>3</m:t>
          </m:r>
          <m:r>
            <m:t>s</m:t>
          </m:r>
          <m:r>
            <m:rPr>
              <m:sty m:val="p"/>
            </m:rPr>
            <m:t>−</m:t>
          </m:r>
          <m:r>
            <m:t>4</m:t>
          </m:r>
          <m:sSup>
            <m:e>
              <m:r>
                <m:t>s</m:t>
              </m:r>
            </m:e>
            <m:sup>
              <m:r>
                <m:t>3</m:t>
              </m:r>
            </m:sup>
          </m:sSup>
          <m:r>
            <m:rPr>
              <m:sty m:val="p"/>
            </m:rPr>
            <m:t>,</m:t>
          </m:r>
          <m:r>
            <m:t> </m:t>
          </m:r>
          <m:r>
            <m:t>s</m:t>
          </m:r>
          <m:r>
            <m:rPr>
              <m:sty m:val="p"/>
            </m:rPr>
            <m:t>=</m:t>
          </m:r>
          <m:r>
            <m:rPr>
              <m:sty m:val="p"/>
            </m:rPr>
            <m:t>sin</m:t>
          </m:r>
          <m:r>
            <m:t>θ</m:t>
          </m:r>
        </m:oMath>
      </m:oMathPara>
    </w:p>
    <w:p>
      <w:pPr>
        <w:pStyle w:val="FirstParagraph"/>
      </w:pPr>
      <m:oMathPara>
        <m:oMathParaPr>
          <m:jc m:val="center"/>
        </m:oMathParaPr>
        <m:oMath>
          <m:r>
            <m:rPr>
              <m:sty m:val="p"/>
            </m:rPr>
            <m:t>sin</m:t>
          </m:r>
          <m:r>
            <m:rPr>
              <m:sty m:val="p"/>
            </m:rPr>
            <m:t>(</m:t>
          </m:r>
          <m:r>
            <m:t>5</m:t>
          </m:r>
          <m:r>
            <m:t>θ</m:t>
          </m:r>
          <m:r>
            <m:rPr>
              <m:sty m:val="p"/>
            </m:rPr>
            <m:t>)</m:t>
          </m:r>
          <m:r>
            <m:rPr>
              <m:sty m:val="p"/>
            </m:rPr>
            <m:t>=</m:t>
          </m:r>
          <m:r>
            <m:t>5</m:t>
          </m:r>
          <m:r>
            <m:t>s</m:t>
          </m:r>
          <m:r>
            <m:rPr>
              <m:sty m:val="p"/>
            </m:rPr>
            <m:t>−</m:t>
          </m:r>
          <m:r>
            <m:t>20</m:t>
          </m:r>
          <m:sSup>
            <m:e>
              <m:r>
                <m:t>s</m:t>
              </m:r>
            </m:e>
            <m:sup>
              <m:r>
                <m:t>3</m:t>
              </m:r>
            </m:sup>
          </m:sSup>
          <m:r>
            <m:rPr>
              <m:sty m:val="p"/>
            </m:rPr>
            <m:t>+</m:t>
          </m:r>
          <m:r>
            <m:t>16</m:t>
          </m:r>
          <m:sSup>
            <m:e>
              <m:r>
                <m:t>s</m:t>
              </m:r>
            </m:e>
            <m:sup>
              <m:r>
                <m:t>5</m:t>
              </m:r>
            </m:sup>
          </m:sSup>
        </m:oMath>
      </m:oMathPara>
    </w:p>
    <w:p>
      <w:pPr>
        <w:pStyle w:val="FirstParagraph"/>
      </w:pPr>
      <w:r>
        <w:rPr>
          <w:rFonts w:hint="eastAsia"/>
        </w:rPr>
        <w:t xml:space="preserve">因此可构造近似谐波项：</w:t>
      </w:r>
    </w:p>
    <w:p>
      <w:pPr>
        <w:pStyle w:val="BodyText"/>
      </w:pPr>
      <m:oMathPara>
        <m:oMathParaPr>
          <m:jc m:val="center"/>
        </m:oMathParaPr>
        <m:oMath>
          <m:sSub>
            <m:e>
              <m:acc>
                <m:accPr>
                  <m:chr m:val="̂"/>
                </m:accPr>
                <m:e>
                  <m:r>
                    <m:t>h</m:t>
                  </m:r>
                </m:e>
              </m:acc>
            </m:e>
            <m:sub>
              <m:r>
                <m:t>s</m:t>
              </m:r>
            </m:sub>
          </m:sSub>
          <m:r>
            <m:rPr>
              <m:sty m:val="p"/>
            </m:rPr>
            <m:t>(</m:t>
          </m:r>
          <m:r>
            <m:t>s</m:t>
          </m:r>
          <m:r>
            <m:rPr>
              <m:sty m:val="p"/>
            </m:rPr>
            <m:t>)</m:t>
          </m:r>
          <m:r>
            <m:rPr>
              <m:sty m:val="p"/>
            </m:rPr>
            <m:t>=</m:t>
          </m:r>
          <m:nary>
            <m:naryPr>
              <m:chr m:val="∑"/>
              <m:limLoc m:val="undOvr"/>
              <m:subHide m:val="off"/>
              <m:supHide m:val="on"/>
            </m:naryPr>
            <m:sub>
              <m:r>
                <m:t>i</m:t>
              </m:r>
              <m:r>
                <m:rPr>
                  <m:sty m:val="p"/>
                </m:rPr>
                <m:t>∈</m:t>
              </m:r>
              <m:r>
                <m:rPr>
                  <m:sty m:val="p"/>
                </m:rPr>
                <m:t>{</m:t>
              </m:r>
              <m:r>
                <m:t>3</m:t>
              </m:r>
              <m:r>
                <m:rPr>
                  <m:sty m:val="p"/>
                </m:rPr>
                <m:t>,</m:t>
              </m:r>
              <m:r>
                <m:t>5</m:t>
              </m:r>
              <m:r>
                <m:rPr>
                  <m:sty m:val="p"/>
                </m:rPr>
                <m:t>,</m:t>
              </m:r>
              <m:r>
                <m:t>7</m:t>
              </m:r>
              <m:r>
                <m:rPr>
                  <m:sty m:val="p"/>
                </m:rPr>
                <m:t>,</m:t>
              </m:r>
              <m:r>
                <m:t>9</m:t>
              </m:r>
              <m:r>
                <m:rPr>
                  <m:sty m:val="p"/>
                </m:rPr>
                <m:t>}</m:t>
              </m:r>
            </m:sub>
            <m:sup>
              <m:r>
                <m:t>​</m:t>
              </m:r>
            </m:sup>
            <m:e>
              <m:sSub>
                <m:e>
                  <m:acc>
                    <m:accPr>
                      <m:chr m:val="̂"/>
                    </m:accPr>
                    <m:e>
                      <m:r>
                        <m:t>C</m:t>
                      </m:r>
                    </m:e>
                  </m:acc>
                </m:e>
                <m:sub>
                  <m:r>
                    <m:t>i</m:t>
                  </m:r>
                </m:sub>
              </m:sSub>
            </m:e>
          </m:nary>
          <m:sSub>
            <m:e>
              <m:r>
                <m:t>P</m:t>
              </m:r>
            </m:e>
            <m:sub>
              <m:r>
                <m:t>i</m:t>
              </m:r>
            </m:sub>
          </m:sSub>
          <m:r>
            <m:rPr>
              <m:sty m:val="p"/>
            </m:rPr>
            <m:t>(</m:t>
          </m:r>
          <m:r>
            <m:t>s</m:t>
          </m:r>
          <m:r>
            <m:rPr>
              <m:sty m:val="p"/>
            </m:rPr>
            <m:t>)</m:t>
          </m:r>
        </m:oMath>
      </m:oMathPara>
    </w:p>
    <w:p>
      <w:pPr>
        <w:pStyle w:val="FirstParagraph"/>
      </w:pPr>
      <w:r>
        <w:rPr>
          <w:rFonts w:hint="eastAsia"/>
        </w:rPr>
        <w:t xml:space="preserve">其中</w:t>
      </w:r>
      <w:r>
        <w:t xml:space="preserve"> </w:t>
      </w:r>
      <w:r>
        <w:rPr>
          <w:rStyle w:val="VerbatimChar"/>
        </w:rPr>
        <w:t xml:space="preserve">P_i(s)</w:t>
      </w:r>
      <w:r>
        <w:t xml:space="preserve"> </w:t>
      </w:r>
      <w:r>
        <w:rPr>
          <w:rFonts w:hint="eastAsia"/>
        </w:rPr>
        <w:t xml:space="preserve">为由多角公式得到的</w:t>
      </w:r>
      <w:r>
        <w:t xml:space="preserve"> i </w:t>
      </w:r>
      <w:r>
        <w:rPr>
          <w:rFonts w:hint="eastAsia"/>
        </w:rPr>
        <w:t xml:space="preserve">阶多项式。补偿后的正弦信号可表示为：</w:t>
      </w:r>
    </w:p>
    <w:p>
      <w:pPr>
        <w:pStyle w:val="BodyText"/>
      </w:pPr>
      <m:oMathPara>
        <m:oMathParaPr>
          <m:jc m:val="center"/>
        </m:oMathParaPr>
        <m:oMath>
          <m:sSub>
            <m:e>
              <m:r>
                <m:t>H</m:t>
              </m:r>
            </m:e>
            <m:sub>
              <m:r>
                <m:t>s</m:t>
              </m:r>
              <m:r>
                <m:t>2</m:t>
              </m:r>
            </m:sub>
          </m:sSub>
          <m:r>
            <m:rPr>
              <m:sty m:val="p"/>
            </m:rPr>
            <m:t>(</m:t>
          </m:r>
          <m:r>
            <m:t>k</m:t>
          </m:r>
          <m:r>
            <m:rPr>
              <m:sty m:val="p"/>
            </m:rPr>
            <m:t>)</m:t>
          </m:r>
          <m:r>
            <m:rPr>
              <m:sty m:val="p"/>
            </m:rPr>
            <m:t>=</m:t>
          </m:r>
          <m:sSub>
            <m:e>
              <m:r>
                <m:t>H</m:t>
              </m:r>
            </m:e>
            <m:sub>
              <m:r>
                <m:t>s</m:t>
              </m:r>
              <m:r>
                <m:t>1</m:t>
              </m:r>
            </m:sub>
          </m:sSub>
          <m:r>
            <m:rPr>
              <m:sty m:val="p"/>
            </m:rPr>
            <m:t>(</m:t>
          </m:r>
          <m:r>
            <m:t>k</m:t>
          </m:r>
          <m:r>
            <m:rPr>
              <m:sty m:val="p"/>
            </m:rPr>
            <m:t>)</m:t>
          </m:r>
          <m:r>
            <m:rPr>
              <m:sty m:val="p"/>
            </m:rPr>
            <m:t>−</m:t>
          </m:r>
          <m:sSub>
            <m:e>
              <m:acc>
                <m:accPr>
                  <m:chr m:val="̂"/>
                </m:accPr>
                <m:e>
                  <m:r>
                    <m:t>h</m:t>
                  </m:r>
                </m:e>
              </m:acc>
            </m:e>
            <m:sub>
              <m:r>
                <m:t>s</m:t>
              </m:r>
            </m:sub>
          </m:sSub>
          <m:r>
            <m:rPr>
              <m:sty m:val="p"/>
            </m:rPr>
            <m:t>(</m:t>
          </m:r>
          <m:sSub>
            <m:e>
              <m:r>
                <m:t>H</m:t>
              </m:r>
            </m:e>
            <m:sub>
              <m:r>
                <m:t>s</m:t>
              </m:r>
              <m:r>
                <m:t>1</m:t>
              </m:r>
            </m:sub>
          </m:sSub>
          <m:r>
            <m:rPr>
              <m:sty m:val="p"/>
            </m:rPr>
            <m:t>(</m:t>
          </m:r>
          <m:r>
            <m:t>k</m:t>
          </m:r>
          <m:r>
            <m:rPr>
              <m:sty m:val="p"/>
            </m:rPr>
            <m:t>)</m:t>
          </m:r>
          <m:r>
            <m:rPr>
              <m:sty m:val="p"/>
            </m:rPr>
            <m:t>)</m:t>
          </m:r>
        </m:oMath>
      </m:oMathPara>
    </w:p>
    <w:p>
      <w:pPr>
        <w:pStyle w:val="FirstParagraph"/>
      </w:pPr>
      <w:r>
        <w:rPr>
          <w:rFonts w:hint="eastAsia"/>
        </w:rPr>
        <w:t xml:space="preserve">余弦通道同理：</w:t>
      </w:r>
    </w:p>
    <w:p>
      <w:pPr>
        <w:pStyle w:val="BodyText"/>
      </w:pPr>
      <m:oMathPara>
        <m:oMathParaPr>
          <m:jc m:val="center"/>
        </m:oMathParaPr>
        <m:oMath>
          <m:sSub>
            <m:e>
              <m:r>
                <m:t>H</m:t>
              </m:r>
            </m:e>
            <m:sub>
              <m:r>
                <m:t>c</m:t>
              </m:r>
              <m:r>
                <m:t>2</m:t>
              </m:r>
            </m:sub>
          </m:sSub>
          <m:r>
            <m:rPr>
              <m:sty m:val="p"/>
            </m:rPr>
            <m:t>(</m:t>
          </m:r>
          <m:r>
            <m:t>k</m:t>
          </m:r>
          <m:r>
            <m:rPr>
              <m:sty m:val="p"/>
            </m:rPr>
            <m:t>)</m:t>
          </m:r>
          <m:r>
            <m:rPr>
              <m:sty m:val="p"/>
            </m:rPr>
            <m:t>=</m:t>
          </m:r>
          <m:sSub>
            <m:e>
              <m:r>
                <m:t>H</m:t>
              </m:r>
            </m:e>
            <m:sub>
              <m:r>
                <m:t>c</m:t>
              </m:r>
              <m:r>
                <m:t>1</m:t>
              </m:r>
            </m:sub>
          </m:sSub>
          <m:r>
            <m:rPr>
              <m:sty m:val="p"/>
            </m:rPr>
            <m:t>(</m:t>
          </m:r>
          <m:r>
            <m:t>k</m:t>
          </m:r>
          <m:r>
            <m:rPr>
              <m:sty m:val="p"/>
            </m:rPr>
            <m:t>)</m:t>
          </m:r>
          <m:r>
            <m:rPr>
              <m:sty m:val="p"/>
            </m:rPr>
            <m:t>−</m:t>
          </m:r>
          <m:sSub>
            <m:e>
              <m:acc>
                <m:accPr>
                  <m:chr m:val="̂"/>
                </m:accPr>
                <m:e>
                  <m:r>
                    <m:t>h</m:t>
                  </m:r>
                </m:e>
              </m:acc>
            </m:e>
            <m:sub>
              <m:r>
                <m:t>c</m:t>
              </m:r>
            </m:sub>
          </m:sSub>
          <m:r>
            <m:rPr>
              <m:sty m:val="p"/>
            </m:rPr>
            <m:t>(</m:t>
          </m:r>
          <m:sSub>
            <m:e>
              <m:r>
                <m:t>H</m:t>
              </m:r>
            </m:e>
            <m:sub>
              <m:r>
                <m:t>c</m:t>
              </m:r>
              <m:r>
                <m:t>1</m:t>
              </m:r>
            </m:sub>
          </m:sSub>
          <m:r>
            <m:rPr>
              <m:sty m:val="p"/>
            </m:rPr>
            <m:t>(</m:t>
          </m:r>
          <m:r>
            <m:t>k</m:t>
          </m:r>
          <m:r>
            <m:rPr>
              <m:sty m:val="p"/>
            </m:rPr>
            <m:t>)</m:t>
          </m:r>
          <m:r>
            <m:rPr>
              <m:sty m:val="p"/>
            </m:rPr>
            <m:t>)</m:t>
          </m:r>
        </m:oMath>
      </m:oMathPara>
    </w:p>
    <w:p>
      <w:pPr>
        <w:pStyle w:val="FirstParagraph"/>
      </w:pPr>
      <w:r>
        <w:rPr>
          <w:rFonts w:hint="eastAsia"/>
        </w:rPr>
        <w:t xml:space="preserve">对残余误差，引入离散</w:t>
      </w:r>
      <w:r>
        <w:t xml:space="preserve"> </w:t>
      </w:r>
      <w:r>
        <w:rPr>
          <w:rFonts w:hint="eastAsia"/>
        </w:rPr>
        <w:t xml:space="preserve">ESO。将重构后信号看作：</w:t>
      </w:r>
    </w:p>
    <w:p>
      <w:pPr>
        <w:pStyle w:val="BodyText"/>
      </w:pPr>
      <m:oMathPara>
        <m:oMathParaPr>
          <m:jc m:val="center"/>
        </m:oMathParaPr>
        <m:oMath>
          <m:r>
            <m:t>u</m:t>
          </m:r>
          <m:r>
            <m:rPr>
              <m:sty m:val="p"/>
            </m:rPr>
            <m:t>(</m:t>
          </m:r>
          <m:r>
            <m:t>k</m:t>
          </m:r>
          <m:r>
            <m:rPr>
              <m:sty m:val="p"/>
            </m:rPr>
            <m:t>)</m:t>
          </m:r>
          <m:r>
            <m:rPr>
              <m:sty m:val="p"/>
            </m:rPr>
            <m:t>=</m:t>
          </m:r>
          <m:r>
            <m:rPr>
              <m:sty m:val="p"/>
            </m:rPr>
            <m:t>sin</m:t>
          </m:r>
          <m:r>
            <m:t>θ</m:t>
          </m:r>
          <m:r>
            <m:rPr>
              <m:sty m:val="p"/>
            </m:rPr>
            <m:t>(</m:t>
          </m:r>
          <m:r>
            <m:t>k</m:t>
          </m:r>
          <m:r>
            <m:rPr>
              <m:sty m:val="p"/>
            </m:rPr>
            <m:t>)</m:t>
          </m:r>
          <m:r>
            <m:rPr>
              <m:sty m:val="p"/>
            </m:rPr>
            <m:t>+</m:t>
          </m:r>
          <m:r>
            <m:t>G</m:t>
          </m:r>
          <m:r>
            <m:rPr>
              <m:sty m:val="p"/>
            </m:rPr>
            <m:t>(</m:t>
          </m:r>
          <m:r>
            <m:t>θ</m:t>
          </m:r>
          <m:r>
            <m:rPr>
              <m:sty m:val="p"/>
            </m:rPr>
            <m:t>(</m:t>
          </m:r>
          <m:r>
            <m:t>k</m:t>
          </m:r>
          <m:r>
            <m:rPr>
              <m:sty m:val="p"/>
            </m:rPr>
            <m:t>)</m:t>
          </m:r>
          <m:r>
            <m:rPr>
              <m:sty m:val="p"/>
            </m:rPr>
            <m:t>)</m:t>
          </m:r>
        </m:oMath>
      </m:oMathPara>
    </w:p>
    <w:p>
      <w:pPr>
        <w:pStyle w:val="FirstParagraph"/>
      </w:pPr>
      <w:r>
        <w:rPr>
          <w:rFonts w:hint="eastAsia"/>
        </w:rPr>
        <w:t xml:space="preserve">其中</w:t>
      </w:r>
      <w:r>
        <w:t xml:space="preserve"> </w:t>
      </w:r>
      <w:r>
        <w:rPr>
          <w:rStyle w:val="VerbatimChar"/>
        </w:rPr>
        <w:t xml:space="preserve">G(theta)</w:t>
      </w:r>
      <w:r>
        <w:t xml:space="preserve"> </w:t>
      </w:r>
      <w:r>
        <w:rPr>
          <w:rFonts w:hint="eastAsia"/>
        </w:rPr>
        <w:t xml:space="preserve">表示未建模谐波、噪声和模型误差。ESO</w:t>
      </w:r>
      <w:r>
        <w:t xml:space="preserve"> </w:t>
      </w:r>
      <w:r>
        <w:rPr>
          <w:rFonts w:hint="eastAsia"/>
        </w:rPr>
        <w:t xml:space="preserve">可写为：</w:t>
      </w:r>
    </w:p>
    <w:p>
      <w:pPr>
        <w:pStyle w:val="BodyText"/>
      </w:pPr>
      <m:oMathPara>
        <m:oMathParaPr>
          <m:jc m:val="center"/>
        </m:oMathParaPr>
        <m:oMath>
          <m:r>
            <m:t>e</m:t>
          </m:r>
          <m:r>
            <m:rPr>
              <m:sty m:val="p"/>
            </m:rPr>
            <m:t>(</m:t>
          </m:r>
          <m:r>
            <m:t>k</m:t>
          </m:r>
          <m:r>
            <m:rPr>
              <m:sty m:val="p"/>
            </m:rPr>
            <m:t>)</m:t>
          </m:r>
          <m:r>
            <m:rPr>
              <m:sty m:val="p"/>
            </m:rPr>
            <m:t>=</m:t>
          </m:r>
          <m:sSub>
            <m:e>
              <m:r>
                <m:t>z</m:t>
              </m:r>
            </m:e>
            <m:sub>
              <m:r>
                <m:t>1</m:t>
              </m:r>
            </m:sub>
          </m:sSub>
          <m:r>
            <m:rPr>
              <m:sty m:val="p"/>
            </m:rPr>
            <m:t>(</m:t>
          </m:r>
          <m:r>
            <m:t>k</m:t>
          </m:r>
          <m:r>
            <m:rPr>
              <m:sty m:val="p"/>
            </m:rPr>
            <m:t>)</m:t>
          </m:r>
          <m:r>
            <m:rPr>
              <m:sty m:val="p"/>
            </m:rPr>
            <m:t>−</m:t>
          </m:r>
          <m:r>
            <m:t>y</m:t>
          </m:r>
          <m:r>
            <m:rPr>
              <m:sty m:val="p"/>
            </m:rPr>
            <m:t>(</m:t>
          </m:r>
          <m:r>
            <m:t>k</m:t>
          </m:r>
          <m:r>
            <m:rPr>
              <m:sty m:val="p"/>
            </m:rPr>
            <m:t>)</m:t>
          </m:r>
        </m:oMath>
      </m:oMathPara>
    </w:p>
    <w:p>
      <w:pPr>
        <w:pStyle w:val="FirstParagraph"/>
      </w:pPr>
      <m:oMathPara>
        <m:oMathParaPr>
          <m:jc m:val="center"/>
        </m:oMathParaPr>
        <m:oMath>
          <m:sSub>
            <m:e>
              <m:r>
                <m:t>z</m:t>
              </m:r>
            </m:e>
            <m:sub>
              <m:r>
                <m:t>1</m:t>
              </m:r>
            </m:sub>
          </m:sSub>
          <m:r>
            <m:rPr>
              <m:sty m:val="p"/>
            </m:rPr>
            <m:t>(</m:t>
          </m:r>
          <m:r>
            <m:t>k</m:t>
          </m:r>
          <m:r>
            <m:rPr>
              <m:sty m:val="p"/>
            </m:rPr>
            <m:t>+</m:t>
          </m:r>
          <m:r>
            <m:t>1</m:t>
          </m:r>
          <m:r>
            <m:rPr>
              <m:sty m:val="p"/>
            </m:rPr>
            <m:t>)</m:t>
          </m:r>
          <m:r>
            <m:rPr>
              <m:sty m:val="p"/>
            </m:rPr>
            <m:t>=</m:t>
          </m:r>
          <m:sSub>
            <m:e>
              <m:r>
                <m:t>z</m:t>
              </m:r>
            </m:e>
            <m:sub>
              <m:r>
                <m:t>1</m:t>
              </m:r>
            </m:sub>
          </m:sSub>
          <m:r>
            <m:rPr>
              <m:sty m:val="p"/>
            </m:rPr>
            <m:t>(</m:t>
          </m:r>
          <m:r>
            <m:t>k</m:t>
          </m:r>
          <m:r>
            <m:rPr>
              <m:sty m:val="p"/>
            </m:rPr>
            <m:t>)</m:t>
          </m:r>
          <m:r>
            <m:rPr>
              <m:sty m:val="p"/>
            </m:rPr>
            <m:t>+</m:t>
          </m:r>
          <m:r>
            <m:t>h</m:t>
          </m:r>
          <m:d>
            <m:dPr>
              <m:begChr m:val="["/>
              <m:sepChr m:val=""/>
              <m:endChr m:val="]"/>
              <m:grow/>
            </m:dPr>
            <m:e>
              <m:sSub>
                <m:e>
                  <m:r>
                    <m:t>z</m:t>
                  </m:r>
                </m:e>
                <m:sub>
                  <m:r>
                    <m:t>2</m:t>
                  </m:r>
                </m:sub>
              </m:sSub>
              <m:r>
                <m:rPr>
                  <m:sty m:val="p"/>
                </m:rPr>
                <m:t>(</m:t>
              </m:r>
              <m:r>
                <m:t>k</m:t>
              </m:r>
              <m:r>
                <m:rPr>
                  <m:sty m:val="p"/>
                </m:rPr>
                <m:t>)</m:t>
              </m:r>
              <m:r>
                <m:rPr>
                  <m:sty m:val="p"/>
                </m:rPr>
                <m:t>−</m:t>
              </m:r>
              <m:sSub>
                <m:e>
                  <m:r>
                    <m:t>β</m:t>
                  </m:r>
                </m:e>
                <m:sub>
                  <m:r>
                    <m:t>1</m:t>
                  </m:r>
                </m:sub>
              </m:sSub>
              <m:r>
                <m:t>e</m:t>
              </m:r>
              <m:r>
                <m:rPr>
                  <m:sty m:val="p"/>
                </m:rPr>
                <m:t>(</m:t>
              </m:r>
              <m:r>
                <m:t>k</m:t>
              </m:r>
              <m:r>
                <m:rPr>
                  <m:sty m:val="p"/>
                </m:rPr>
                <m:t>)</m:t>
              </m:r>
              <m:r>
                <m:rPr>
                  <m:sty m:val="p"/>
                </m:rPr>
                <m:t>+</m:t>
              </m:r>
              <m:r>
                <m:t>u</m:t>
              </m:r>
              <m:r>
                <m:rPr>
                  <m:sty m:val="p"/>
                </m:rPr>
                <m:t>(</m:t>
              </m:r>
              <m:r>
                <m:t>k</m:t>
              </m:r>
              <m:r>
                <m:rPr>
                  <m:sty m:val="p"/>
                </m:rPr>
                <m:t>)</m:t>
              </m:r>
              <m:r>
                <m:rPr>
                  <m:sty m:val="p"/>
                </m:rPr>
                <m:t>−</m:t>
              </m:r>
              <m:sSub>
                <m:e>
                  <m:r>
                    <m:t>z</m:t>
                  </m:r>
                </m:e>
                <m:sub>
                  <m:r>
                    <m:t>1</m:t>
                  </m:r>
                </m:sub>
              </m:sSub>
              <m:r>
                <m:rPr>
                  <m:sty m:val="p"/>
                </m:rPr>
                <m:t>(</m:t>
              </m:r>
              <m:r>
                <m:t>k</m:t>
              </m:r>
              <m:r>
                <m:rPr>
                  <m:sty m:val="p"/>
                </m:rPr>
                <m:t>−</m:t>
              </m:r>
              <m:r>
                <m:t>1</m:t>
              </m:r>
              <m:r>
                <m:rPr>
                  <m:sty m:val="p"/>
                </m:rPr>
                <m:t>)</m:t>
              </m:r>
            </m:e>
          </m:d>
        </m:oMath>
      </m:oMathPara>
    </w:p>
    <w:p>
      <w:pPr>
        <w:pStyle w:val="FirstParagraph"/>
      </w:pPr>
      <m:oMathPara>
        <m:oMathParaPr>
          <m:jc m:val="center"/>
        </m:oMathParaPr>
        <m:oMath>
          <m:sSub>
            <m:e>
              <m:r>
                <m:t>z</m:t>
              </m:r>
            </m:e>
            <m:sub>
              <m:r>
                <m:t>2</m:t>
              </m:r>
            </m:sub>
          </m:sSub>
          <m:r>
            <m:rPr>
              <m:sty m:val="p"/>
            </m:rPr>
            <m:t>(</m:t>
          </m:r>
          <m:r>
            <m:t>k</m:t>
          </m:r>
          <m:r>
            <m:rPr>
              <m:sty m:val="p"/>
            </m:rPr>
            <m:t>+</m:t>
          </m:r>
          <m:r>
            <m:t>1</m:t>
          </m:r>
          <m:r>
            <m:rPr>
              <m:sty m:val="p"/>
            </m:rPr>
            <m:t>)</m:t>
          </m:r>
          <m:r>
            <m:rPr>
              <m:sty m:val="p"/>
            </m:rPr>
            <m:t>=</m:t>
          </m:r>
          <m:sSub>
            <m:e>
              <m:r>
                <m:t>z</m:t>
              </m:r>
            </m:e>
            <m:sub>
              <m:r>
                <m:t>2</m:t>
              </m:r>
            </m:sub>
          </m:sSub>
          <m:r>
            <m:rPr>
              <m:sty m:val="p"/>
            </m:rPr>
            <m:t>(</m:t>
          </m:r>
          <m:r>
            <m:t>k</m:t>
          </m:r>
          <m:r>
            <m:rPr>
              <m:sty m:val="p"/>
            </m:rPr>
            <m:t>)</m:t>
          </m:r>
          <m:r>
            <m:rPr>
              <m:sty m:val="p"/>
            </m:rPr>
            <m:t>+</m:t>
          </m:r>
          <m:r>
            <m:t>h</m:t>
          </m:r>
          <m:d>
            <m:dPr>
              <m:begChr m:val="["/>
              <m:sepChr m:val=""/>
              <m:endChr m:val="]"/>
              <m:grow/>
            </m:dPr>
            <m:e>
              <m:r>
                <m:rPr>
                  <m:sty m:val="p"/>
                </m:rPr>
                <m:t>−</m:t>
              </m:r>
              <m:sSub>
                <m:e>
                  <m:r>
                    <m:t>β</m:t>
                  </m:r>
                </m:e>
                <m:sub>
                  <m:r>
                    <m:t>2</m:t>
                  </m:r>
                </m:sub>
              </m:sSub>
              <m:r>
                <m:t>e</m:t>
              </m:r>
              <m:r>
                <m:rPr>
                  <m:sty m:val="p"/>
                </m:rPr>
                <m:t>(</m:t>
              </m:r>
              <m:r>
                <m:t>k</m:t>
              </m:r>
              <m:r>
                <m:rPr>
                  <m:sty m:val="p"/>
                </m:rPr>
                <m:t>)</m:t>
              </m:r>
              <m:r>
                <m:rPr>
                  <m:sty m:val="p"/>
                </m:rPr>
                <m:t>−</m:t>
              </m:r>
              <m:sSub>
                <m:e>
                  <m:r>
                    <m:t>z</m:t>
                  </m:r>
                </m:e>
                <m:sub>
                  <m:r>
                    <m:t>2</m:t>
                  </m:r>
                </m:sub>
              </m:sSub>
              <m:r>
                <m:rPr>
                  <m:sty m:val="p"/>
                </m:rPr>
                <m:t>(</m:t>
              </m:r>
              <m:r>
                <m:t>k</m:t>
              </m:r>
              <m:r>
                <m:rPr>
                  <m:sty m:val="p"/>
                </m:rPr>
                <m:t>−</m:t>
              </m:r>
              <m:r>
                <m:t>1</m:t>
              </m:r>
              <m:r>
                <m:rPr>
                  <m:sty m:val="p"/>
                </m:rPr>
                <m:t>)</m:t>
              </m:r>
            </m:e>
          </m:d>
        </m:oMath>
      </m:oMathPara>
    </w:p>
    <w:p>
      <w:pPr>
        <w:pStyle w:val="FirstParagraph"/>
      </w:pPr>
      <w:r>
        <w:rPr>
          <w:rFonts w:hint="eastAsia"/>
        </w:rPr>
        <w:t xml:space="preserve">其中</w:t>
      </w:r>
      <w:r>
        <w:t xml:space="preserve"> </w:t>
      </w:r>
      <w:r>
        <w:rPr>
          <w:rStyle w:val="VerbatimChar"/>
        </w:rPr>
        <w:t xml:space="preserve">z_1</w:t>
      </w:r>
      <w:r>
        <w:t xml:space="preserve"> </w:t>
      </w:r>
      <w:r>
        <w:rPr>
          <w:rFonts w:hint="eastAsia"/>
        </w:rPr>
        <w:t xml:space="preserve">估计理想基波信号，</w:t>
      </w:r>
      <w:r>
        <w:rPr>
          <w:rStyle w:val="VerbatimChar"/>
        </w:rPr>
        <w:t xml:space="preserve">z_2</w:t>
      </w:r>
      <w:r>
        <w:t xml:space="preserve"> </w:t>
      </w:r>
      <w:r>
        <w:rPr>
          <w:rFonts w:hint="eastAsia"/>
        </w:rPr>
        <w:t xml:space="preserve">估计残余扰动。最终角度输出为：</w:t>
      </w:r>
    </w:p>
    <w:p>
      <w:pPr>
        <w:pStyle w:val="BodyText"/>
      </w:pPr>
      <m:oMathPara>
        <m:oMathParaPr>
          <m:jc m:val="center"/>
        </m:oMathParaPr>
        <m:oMath>
          <m:acc>
            <m:accPr>
              <m:chr m:val="̂"/>
            </m:accPr>
            <m:e>
              <m:r>
                <m:t>θ</m:t>
              </m:r>
            </m:e>
          </m:acc>
          <m:r>
            <m:rPr>
              <m:sty m:val="p"/>
            </m:rPr>
            <m:t>(</m:t>
          </m:r>
          <m:r>
            <m:t>k</m:t>
          </m:r>
          <m:r>
            <m:rPr>
              <m:sty m:val="p"/>
            </m:rPr>
            <m:t>)</m:t>
          </m:r>
          <m:r>
            <m:rPr>
              <m:sty m:val="p"/>
            </m:rPr>
            <m:t>=</m:t>
          </m:r>
          <m:r>
            <m:rPr>
              <m:sty m:val="p"/>
            </m:rPr>
            <m:t>atan2</m:t>
          </m:r>
          <m:d>
            <m:dPr>
              <m:begChr m:val="("/>
              <m:sepChr m:val=""/>
              <m:endChr m:val=")"/>
              <m:grow/>
            </m:dPr>
            <m:e>
              <m:sSub>
                <m:e>
                  <m:r>
                    <m:t>z</m:t>
                  </m:r>
                </m:e>
                <m:sub>
                  <m:r>
                    <m:t>1</m:t>
                  </m:r>
                  <m:r>
                    <m:t>s</m:t>
                  </m:r>
                </m:sub>
              </m:sSub>
              <m:r>
                <m:rPr>
                  <m:sty m:val="p"/>
                </m:rPr>
                <m:t>(</m:t>
              </m:r>
              <m:r>
                <m:t>k</m:t>
              </m:r>
              <m:r>
                <m:rPr>
                  <m:sty m:val="p"/>
                </m:rPr>
                <m:t>)</m:t>
              </m:r>
              <m:r>
                <m:rPr>
                  <m:sty m:val="p"/>
                </m:rPr>
                <m:t>,</m:t>
              </m:r>
              <m:sSub>
                <m:e>
                  <m:r>
                    <m:t>z</m:t>
                  </m:r>
                </m:e>
                <m:sub>
                  <m:r>
                    <m:t>1</m:t>
                  </m:r>
                  <m:r>
                    <m:t>c</m:t>
                  </m:r>
                </m:sub>
              </m:sSub>
              <m:r>
                <m:rPr>
                  <m:sty m:val="p"/>
                </m:rPr>
                <m:t>(</m:t>
              </m:r>
              <m:r>
                <m:t>k</m:t>
              </m:r>
              <m:r>
                <m:rPr>
                  <m:sty m:val="p"/>
                </m:rPr>
                <m:t>)</m:t>
              </m:r>
            </m:e>
          </m:d>
        </m:oMath>
      </m:oMathPara>
    </w:p>
    <w:p>
      <w:pPr>
        <w:pStyle w:val="FirstParagraph"/>
      </w:pPr>
      <m:oMathPara>
        <m:oMathParaPr>
          <m:jc m:val="center"/>
        </m:oMathParaPr>
        <m:oMath>
          <m:acc>
            <m:accPr>
              <m:chr m:val="̂"/>
            </m:accPr>
            <m:e>
              <m:r>
                <m:t>ω</m:t>
              </m:r>
            </m:e>
          </m:acc>
          <m:r>
            <m:rPr>
              <m:sty m:val="p"/>
            </m:rPr>
            <m:t>(</m:t>
          </m:r>
          <m:r>
            <m:t>k</m:t>
          </m:r>
          <m:r>
            <m:rPr>
              <m:sty m:val="p"/>
            </m:rPr>
            <m:t>)</m:t>
          </m:r>
          <m:r>
            <m:rPr>
              <m:sty m:val="p"/>
            </m:rPr>
            <m:t>=</m:t>
          </m:r>
          <m:f>
            <m:fPr>
              <m:type m:val="bar"/>
            </m:fPr>
            <m:num>
              <m:acc>
                <m:accPr>
                  <m:chr m:val="̂"/>
                </m:accPr>
                <m:e>
                  <m:r>
                    <m:t>θ</m:t>
                  </m:r>
                </m:e>
              </m:acc>
              <m:r>
                <m:rPr>
                  <m:sty m:val="p"/>
                </m:rPr>
                <m:t>(</m:t>
              </m:r>
              <m:r>
                <m:t>k</m:t>
              </m:r>
              <m:r>
                <m:rPr>
                  <m:sty m:val="p"/>
                </m:rPr>
                <m:t>)</m:t>
              </m:r>
              <m:r>
                <m:rPr>
                  <m:sty m:val="p"/>
                </m:rPr>
                <m:t>−</m:t>
              </m:r>
              <m:acc>
                <m:accPr>
                  <m:chr m:val="̂"/>
                </m:accPr>
                <m:e>
                  <m:r>
                    <m:t>θ</m:t>
                  </m:r>
                </m:e>
              </m:acc>
              <m:r>
                <m:rPr>
                  <m:sty m:val="p"/>
                </m:rPr>
                <m:t>(</m:t>
              </m:r>
              <m:r>
                <m:t>k</m:t>
              </m:r>
              <m:r>
                <m:rPr>
                  <m:sty m:val="p"/>
                </m:rPr>
                <m:t>−</m:t>
              </m:r>
              <m:r>
                <m:t>1</m:t>
              </m:r>
              <m:r>
                <m:rPr>
                  <m:sty m:val="p"/>
                </m:rPr>
                <m:t>)</m:t>
              </m:r>
            </m:num>
            <m:den>
              <m:sSub>
                <m:e>
                  <m:r>
                    <m:t>T</m:t>
                  </m:r>
                </m:e>
                <m:sub>
                  <m:r>
                    <m:t>s</m:t>
                  </m:r>
                </m:sub>
              </m:sSub>
            </m:den>
          </m:f>
        </m:oMath>
      </m:oMathPara>
    </w:p>
    <w:bookmarkEnd w:id="21"/>
    <w:bookmarkStart w:id="25" w:name="方法流程框图-1"/>
    <w:p>
      <w:pPr>
        <w:pStyle w:val="Heading3"/>
      </w:pPr>
      <w:r>
        <w:t xml:space="preserve">2.4 </w:t>
      </w:r>
      <w:r>
        <w:rPr>
          <w:rFonts w:hint="eastAsia"/>
        </w:rPr>
        <w:t xml:space="preserve">方法流程框图</w:t>
      </w:r>
    </w:p>
    <w:p>
      <w:pPr>
        <w:pStyle w:val="CaptionedFigure"/>
      </w:pPr>
      <w:r>
        <w:drawing>
          <wp:inline>
            <wp:extent cx="5334000" cy="1828800"/>
            <wp:effectExtent b="0" l="0" r="0" t="0"/>
            <wp:docPr descr="图 2 归一化、谐波重构与 ESO 复合信号提取流程图" title="" id="23" name="Picture"/>
            <a:graphic>
              <a:graphicData uri="http://schemas.openxmlformats.org/drawingml/2006/picture">
                <pic:pic>
                  <pic:nvPicPr>
                    <pic:cNvPr descr="figures/linear_hall_method2_sem_eso.png" id="24" name="Picture"/>
                    <pic:cNvPicPr>
                      <a:picLocks noChangeArrowheads="1" noChangeAspect="1"/>
                    </pic:cNvPicPr>
                  </pic:nvPicPr>
                  <pic:blipFill>
                    <a:blip r:embed="rId22"/>
                    <a:stretch>
                      <a:fillRect/>
                    </a:stretch>
                  </pic:blipFill>
                  <pic:spPr bwMode="auto">
                    <a:xfrm>
                      <a:off x="0" y="0"/>
                      <a:ext cx="5334000" cy="1828800"/>
                    </a:xfrm>
                    <a:prstGeom prst="rect">
                      <a:avLst/>
                    </a:prstGeom>
                    <a:noFill/>
                    <a:ln w="9525">
                      <a:noFill/>
                      <a:headEnd/>
                      <a:tailEnd/>
                    </a:ln>
                  </pic:spPr>
                </pic:pic>
              </a:graphicData>
            </a:graphic>
          </wp:inline>
        </w:drawing>
      </w:r>
    </w:p>
    <w:p>
      <w:pPr>
        <w:pStyle w:val="ImageCaption"/>
        <w:jc w:val="center"/>
      </w:pPr>
      <w:r>
        <w:rPr>
          <w:rFonts w:hint="eastAsia" w:ascii="宋体" w:hAnsi="宋体" w:eastAsia="宋体"/>
          <w:color w:val="475569"/>
          <w:sz w:val="18"/>
        </w:rPr>
        <w:t xml:space="preserve">图</w:t>
      </w:r>
      <w:r>
        <w:rPr>
          <w:rFonts w:ascii="宋体" w:hAnsi="宋体" w:eastAsia="宋体"/>
          <w:color w:val="475569"/>
          <w:sz w:val="18"/>
        </w:rPr>
        <w:t xml:space="preserve"> 2 </w:t>
      </w:r>
      <w:r>
        <w:rPr>
          <w:rFonts w:hint="eastAsia" w:ascii="宋体" w:hAnsi="宋体" w:eastAsia="宋体"/>
          <w:color w:val="475569"/>
          <w:sz w:val="18"/>
        </w:rPr>
        <w:t xml:space="preserve">归一化、谐波重构与</w:t>
      </w:r>
      <w:r>
        <w:rPr>
          <w:rFonts w:ascii="宋体" w:hAnsi="宋体" w:eastAsia="宋体"/>
          <w:color w:val="475569"/>
          <w:sz w:val="18"/>
        </w:rPr>
        <w:t xml:space="preserve"> ESO </w:t>
      </w:r>
      <w:r>
        <w:rPr>
          <w:rFonts w:hint="eastAsia" w:ascii="宋体" w:hAnsi="宋体" w:eastAsia="宋体"/>
          <w:color w:val="475569"/>
          <w:sz w:val="18"/>
        </w:rPr>
        <w:t xml:space="preserve">复合信号提取流程图</w:t>
      </w:r>
    </w:p>
    <w:p>
      <w:pPr>
        <w:pStyle w:val="BodyText"/>
        <w:jc w:val="center"/>
      </w:pPr>
      <w:r>
        <w:rPr>
          <w:rFonts w:hint="eastAsia" w:ascii="宋体" w:hAnsi="宋体" w:eastAsia="宋体"/>
          <w:i/>
          <w:iCs/>
          <w:color w:val="475569"/>
          <w:sz w:val="18"/>
        </w:rPr>
        <w:t xml:space="preserve">图</w:t>
      </w:r>
      <w:r>
        <w:rPr>
          <w:rFonts w:ascii="宋体" w:hAnsi="宋体" w:eastAsia="宋体"/>
          <w:i/>
          <w:iCs/>
          <w:color w:val="475569"/>
          <w:sz w:val="18"/>
        </w:rPr>
        <w:t xml:space="preserve"> 2 </w:t>
      </w:r>
      <w:r>
        <w:rPr>
          <w:rFonts w:hint="eastAsia" w:ascii="宋体" w:hAnsi="宋体" w:eastAsia="宋体"/>
          <w:i/>
          <w:iCs/>
          <w:color w:val="475569"/>
          <w:sz w:val="18"/>
        </w:rPr>
        <w:t xml:space="preserve">归一化、谐波重构与</w:t>
      </w:r>
      <w:r>
        <w:rPr>
          <w:rFonts w:ascii="宋体" w:hAnsi="宋体" w:eastAsia="宋体"/>
          <w:i/>
          <w:iCs/>
          <w:color w:val="475569"/>
          <w:sz w:val="18"/>
        </w:rPr>
        <w:t xml:space="preserve"> ESO </w:t>
      </w:r>
      <w:r>
        <w:rPr>
          <w:rFonts w:hint="eastAsia" w:ascii="宋体" w:hAnsi="宋体" w:eastAsia="宋体"/>
          <w:i/>
          <w:iCs/>
          <w:color w:val="475569"/>
          <w:sz w:val="18"/>
        </w:rPr>
        <w:t xml:space="preserve">复合信号提取流程图</w:t>
      </w:r>
    </w:p>
    <w:bookmarkEnd w:id="25"/>
    <w:bookmarkStart w:id="26" w:name="方法流程-1"/>
    <w:p>
      <w:pPr>
        <w:pStyle w:val="Heading3"/>
      </w:pPr>
      <w:r>
        <w:t xml:space="preserve">2.5 </w:t>
      </w:r>
      <w:r>
        <w:rPr>
          <w:rFonts w:hint="eastAsia"/>
        </w:rPr>
        <w:t xml:space="preserve">方法流程</w:t>
      </w:r>
    </w:p>
    <w:p>
      <w:pPr>
        <w:numPr>
          <w:ilvl w:val="0"/>
          <w:numId w:val="1007"/>
        </w:numPr>
        <w:spacing w:line="283" w:lineRule="auto" w:after="80"/>
      </w:pPr>
      <w:r>
        <w:rPr>
          <w:rFonts w:hint="eastAsia" w:ascii="宋体" w:hAnsi="宋体" w:eastAsia="宋体"/>
          <w:sz w:val="21"/>
        </w:rPr>
        <w:t xml:space="preserve">原始信号建模</w:t>
      </w:r>
      <w:r>
        <w:rPr>
          <w:rFonts w:ascii="宋体" w:hAnsi="宋体" w:eastAsia="宋体"/>
          <w:sz w:val="21"/>
        </w:rPr>
        <w:br/>
      </w:r>
      <w:r>
        <w:rPr>
          <w:rFonts w:hint="eastAsia" w:ascii="宋体" w:hAnsi="宋体" w:eastAsia="宋体"/>
          <w:sz w:val="21"/>
        </w:rPr>
        <w:t xml:space="preserve">将两路</w:t>
      </w:r>
      <w:r>
        <w:rPr>
          <w:rFonts w:ascii="宋体" w:hAnsi="宋体" w:eastAsia="宋体"/>
          <w:sz w:val="21"/>
        </w:rPr>
        <w:t xml:space="preserve"> Hall </w:t>
      </w:r>
      <w:r>
        <w:rPr>
          <w:rFonts w:hint="eastAsia" w:ascii="宋体" w:hAnsi="宋体" w:eastAsia="宋体"/>
          <w:sz w:val="21"/>
        </w:rPr>
        <w:t xml:space="preserve">信号表示为含有基波和若干奇次谐波的正余弦信号。论文重点考虑三次、五次、七次、九次谐波。</w:t>
      </w:r>
    </w:p>
    <w:p>
      <w:pPr>
        <w:numPr>
          <w:ilvl w:val="0"/>
          <w:numId w:val="1007"/>
        </w:numPr>
        <w:spacing w:line="283" w:lineRule="auto" w:after="80"/>
      </w:pPr>
      <w:r>
        <w:rPr>
          <w:rFonts w:hint="eastAsia" w:ascii="宋体" w:hAnsi="宋体" w:eastAsia="宋体"/>
          <w:sz w:val="21"/>
        </w:rPr>
        <w:t xml:space="preserve">幅值归一化</w:t>
      </w:r>
      <w:r>
        <w:rPr>
          <w:rFonts w:ascii="宋体" w:hAnsi="宋体" w:eastAsia="宋体"/>
          <w:sz w:val="21"/>
        </w:rPr>
        <w:br/>
      </w:r>
      <w:r>
        <w:rPr>
          <w:rFonts w:hint="eastAsia" w:ascii="宋体" w:hAnsi="宋体" w:eastAsia="宋体"/>
          <w:sz w:val="21"/>
        </w:rPr>
        <w:t xml:space="preserve">对原始正余弦信号做归一化，使基波幅值统一为</w:t>
      </w:r>
      <w:r>
        <w:rPr>
          <w:rFonts w:ascii="宋体" w:hAnsi="宋体" w:eastAsia="宋体"/>
          <w:sz w:val="21"/>
        </w:rPr>
        <w:t xml:space="preserve"> </w:t>
      </w:r>
      <w:r>
        <w:rPr>
          <w:rFonts w:hint="eastAsia" w:ascii="宋体" w:hAnsi="宋体" w:eastAsia="宋体"/>
          <w:sz w:val="21"/>
        </w:rPr>
        <w:t xml:space="preserve">1，减少幅值不一致对角度解算的影响。</w:t>
      </w:r>
    </w:p>
    <w:p>
      <w:pPr>
        <w:numPr>
          <w:ilvl w:val="0"/>
          <w:numId w:val="1007"/>
        </w:numPr>
        <w:spacing w:line="283" w:lineRule="auto" w:after="80"/>
      </w:pPr>
      <w:r>
        <w:rPr>
          <w:rFonts w:hint="eastAsia" w:ascii="宋体" w:hAnsi="宋体" w:eastAsia="宋体"/>
          <w:sz w:val="21"/>
        </w:rPr>
        <w:t xml:space="preserve">离线频谱分析</w:t>
      </w:r>
      <w:r>
        <w:rPr>
          <w:rFonts w:ascii="宋体" w:hAnsi="宋体" w:eastAsia="宋体"/>
          <w:sz w:val="21"/>
        </w:rPr>
        <w:br/>
      </w:r>
      <w:r>
        <w:rPr>
          <w:rFonts w:hint="eastAsia" w:ascii="宋体" w:hAnsi="宋体" w:eastAsia="宋体"/>
          <w:sz w:val="21"/>
        </w:rPr>
        <w:t xml:space="preserve">对采集到的</w:t>
      </w:r>
      <w:r>
        <w:rPr>
          <w:rFonts w:ascii="宋体" w:hAnsi="宋体" w:eastAsia="宋体"/>
          <w:sz w:val="21"/>
        </w:rPr>
        <w:t xml:space="preserve"> Hall </w:t>
      </w:r>
      <w:r>
        <w:rPr>
          <w:rFonts w:hint="eastAsia" w:ascii="宋体" w:hAnsi="宋体" w:eastAsia="宋体"/>
          <w:sz w:val="21"/>
        </w:rPr>
        <w:t xml:space="preserve">信号进行</w:t>
      </w:r>
      <w:r>
        <w:rPr>
          <w:rFonts w:ascii="宋体" w:hAnsi="宋体" w:eastAsia="宋体"/>
          <w:sz w:val="21"/>
        </w:rPr>
        <w:t xml:space="preserve"> </w:t>
      </w:r>
      <w:r>
        <w:rPr>
          <w:rFonts w:hint="eastAsia" w:ascii="宋体" w:hAnsi="宋体" w:eastAsia="宋体"/>
          <w:sz w:val="21"/>
        </w:rPr>
        <w:t xml:space="preserve">FFT，识别主要谐波阶次和相对幅值。论文指出在其系统中，主要谐波比例在不同速度下基本稳定，因此可以离线识别谐波系数。</w:t>
      </w:r>
    </w:p>
    <w:p>
      <w:pPr>
        <w:numPr>
          <w:ilvl w:val="0"/>
          <w:numId w:val="1007"/>
        </w:numPr>
        <w:spacing w:line="283" w:lineRule="auto" w:after="80"/>
      </w:pPr>
      <w:r>
        <w:rPr>
          <w:rFonts w:hint="eastAsia" w:ascii="宋体" w:hAnsi="宋体" w:eastAsia="宋体"/>
          <w:sz w:val="21"/>
        </w:rPr>
        <w:t xml:space="preserve">信号重构</w:t>
      </w:r>
      <w:r>
        <w:rPr>
          <w:rFonts w:ascii="宋体" w:hAnsi="宋体" w:eastAsia="宋体"/>
          <w:sz w:val="21"/>
        </w:rPr>
        <w:br/>
      </w:r>
      <w:r>
        <w:rPr>
          <w:rFonts w:hint="eastAsia" w:ascii="宋体" w:hAnsi="宋体" w:eastAsia="宋体"/>
          <w:sz w:val="21"/>
        </w:rPr>
        <w:t xml:space="preserve">根据多角公式，把高次谐波表示成基波变量的函数，建立信号重构模型。重构模型用于抵消主要谐波，使输出信号更接近理想正余弦。</w:t>
      </w:r>
    </w:p>
    <w:p>
      <w:pPr>
        <w:numPr>
          <w:ilvl w:val="0"/>
          <w:numId w:val="1007"/>
        </w:numPr>
        <w:spacing w:line="283" w:lineRule="auto" w:after="80"/>
      </w:pPr>
      <w:r>
        <w:rPr>
          <w:rFonts w:hint="eastAsia" w:ascii="宋体" w:hAnsi="宋体" w:eastAsia="宋体"/>
          <w:sz w:val="21"/>
        </w:rPr>
        <w:t xml:space="preserve">离散</w:t>
      </w:r>
      <w:r>
        <w:rPr>
          <w:rFonts w:ascii="宋体" w:hAnsi="宋体" w:eastAsia="宋体"/>
          <w:sz w:val="21"/>
        </w:rPr>
        <w:t xml:space="preserve"> ESO </w:t>
      </w:r>
      <w:r>
        <w:rPr>
          <w:rFonts w:hint="eastAsia" w:ascii="宋体" w:hAnsi="宋体" w:eastAsia="宋体"/>
          <w:sz w:val="21"/>
        </w:rPr>
        <w:t xml:space="preserve">补偿</w:t>
      </w:r>
      <w:r>
        <w:rPr>
          <w:rFonts w:ascii="宋体" w:hAnsi="宋体" w:eastAsia="宋体"/>
          <w:sz w:val="21"/>
        </w:rPr>
        <w:br/>
      </w:r>
      <w:r>
        <w:rPr>
          <w:rFonts w:hint="eastAsia" w:ascii="宋体" w:hAnsi="宋体" w:eastAsia="宋体"/>
          <w:sz w:val="21"/>
        </w:rPr>
        <w:t xml:space="preserve">谐波模型不能完全覆盖所有噪声和建模误差，因此引入离散扩张状态观测器，把残余误差视为总扰动进行估计和补偿。</w:t>
      </w:r>
    </w:p>
    <w:p>
      <w:pPr>
        <w:numPr>
          <w:ilvl w:val="0"/>
          <w:numId w:val="1007"/>
        </w:numPr>
        <w:spacing w:line="283" w:lineRule="auto" w:after="80"/>
      </w:pPr>
      <w:r>
        <w:rPr>
          <w:rFonts w:hint="eastAsia" w:ascii="宋体" w:hAnsi="宋体" w:eastAsia="宋体"/>
          <w:sz w:val="21"/>
        </w:rPr>
        <w:t xml:space="preserve">角度输出</w:t>
      </w:r>
      <w:r>
        <w:rPr>
          <w:rFonts w:ascii="宋体" w:hAnsi="宋体" w:eastAsia="宋体"/>
          <w:sz w:val="21"/>
        </w:rPr>
        <w:br/>
      </w:r>
      <w:r>
        <w:rPr>
          <w:rFonts w:hint="eastAsia" w:ascii="宋体" w:hAnsi="宋体" w:eastAsia="宋体"/>
          <w:sz w:val="21"/>
        </w:rPr>
        <w:t xml:space="preserve">对最终补偿后的正余弦信号使用</w:t>
      </w:r>
      <w:r>
        <w:rPr>
          <w:rFonts w:ascii="宋体" w:hAnsi="宋体" w:eastAsia="宋体"/>
          <w:sz w:val="21"/>
        </w:rPr>
        <w:t xml:space="preserve"> </w:t>
      </w:r>
      <w:r>
        <w:rPr>
          <w:rStyle w:val="VerbatimChar"/>
          <w:rFonts w:ascii="宋体" w:hAnsi="宋体" w:eastAsia="宋体"/>
          <w:sz w:val="21"/>
        </w:rPr>
        <w:t xml:space="preserve">atan2</w:t>
      </w:r>
      <w:r>
        <w:rPr>
          <w:rFonts w:hint="eastAsia" w:ascii="宋体" w:hAnsi="宋体" w:eastAsia="宋体"/>
          <w:sz w:val="21"/>
        </w:rPr>
        <w:t xml:space="preserve">，得到角位置。论文实验中，原始位置误差约</w:t>
      </w:r>
      <w:r>
        <w:rPr>
          <w:rFonts w:ascii="宋体" w:hAnsi="宋体" w:eastAsia="宋体"/>
          <w:sz w:val="21"/>
        </w:rPr>
        <w:t xml:space="preserve"> 0.18 </w:t>
      </w:r>
      <w:r>
        <w:rPr>
          <w:rFonts w:hint="eastAsia" w:ascii="宋体" w:hAnsi="宋体" w:eastAsia="宋体"/>
          <w:sz w:val="21"/>
        </w:rPr>
        <w:t xml:space="preserve">rad，最终误差可压到约</w:t>
      </w:r>
      <w:r>
        <w:rPr>
          <w:rFonts w:ascii="宋体" w:hAnsi="宋体" w:eastAsia="宋体"/>
          <w:sz w:val="21"/>
        </w:rPr>
        <w:t xml:space="preserve"> 0.011 rad </w:t>
      </w:r>
      <w:r>
        <w:rPr>
          <w:rFonts w:hint="eastAsia" w:ascii="宋体" w:hAnsi="宋体" w:eastAsia="宋体"/>
          <w:sz w:val="21"/>
        </w:rPr>
        <w:t xml:space="preserve">至</w:t>
      </w:r>
      <w:r>
        <w:rPr>
          <w:rFonts w:ascii="宋体" w:hAnsi="宋体" w:eastAsia="宋体"/>
          <w:sz w:val="21"/>
        </w:rPr>
        <w:t xml:space="preserve"> 0.013 rad </w:t>
      </w:r>
      <w:r>
        <w:rPr>
          <w:rFonts w:hint="eastAsia" w:ascii="宋体" w:hAnsi="宋体" w:eastAsia="宋体"/>
          <w:sz w:val="21"/>
        </w:rPr>
        <w:t xml:space="preserve">范围，满足其云台伺服控制要求。</w:t>
      </w:r>
    </w:p>
    <w:bookmarkEnd w:id="26"/>
    <w:bookmarkStart w:id="27" w:name="对云台项目的价值-1"/>
    <w:p>
      <w:pPr>
        <w:pStyle w:val="Heading3"/>
      </w:pPr>
      <w:r>
        <w:t xml:space="preserve">2.6 </w:t>
      </w:r>
      <w:r>
        <w:rPr>
          <w:rFonts w:hint="eastAsia"/>
        </w:rPr>
        <w:t xml:space="preserve">对云台项目的价值</w:t>
      </w:r>
    </w:p>
    <w:p>
      <w:pPr>
        <w:pStyle w:val="FirstParagraph"/>
      </w:pPr>
      <w:r>
        <w:rPr>
          <w:rFonts w:hint="eastAsia"/>
        </w:rPr>
        <w:t xml:space="preserve">该方法特别适合低速云台，因为低速时反电势弱、编码器成本高、Hall</w:t>
      </w:r>
      <w:r>
        <w:t xml:space="preserve"> </w:t>
      </w:r>
      <w:r>
        <w:rPr>
          <w:rFonts w:hint="eastAsia"/>
        </w:rPr>
        <w:t xml:space="preserve">信号误差又容易直接进入位置环。对本项目而言，可以把它作为实时信号处理主链路：</w:t>
      </w:r>
    </w:p>
    <w:p>
      <w:pPr>
        <w:pStyle w:val="Compact"/>
        <w:numPr>
          <w:ilvl w:val="0"/>
          <w:numId w:val="1008"/>
        </w:numPr>
      </w:pPr>
      <w:r>
        <w:rPr>
          <w:rFonts w:hint="eastAsia"/>
        </w:rPr>
        <w:t xml:space="preserve">用归一化解决安装和磁场幅值差；</w:t>
      </w:r>
    </w:p>
    <w:p>
      <w:pPr>
        <w:pStyle w:val="Compact"/>
        <w:numPr>
          <w:ilvl w:val="0"/>
          <w:numId w:val="1008"/>
        </w:numPr>
      </w:pPr>
      <w:r>
        <w:rPr>
          <w:rFonts w:hint="eastAsia"/>
        </w:rPr>
        <w:t xml:space="preserve">用</w:t>
      </w:r>
      <w:r>
        <w:t xml:space="preserve"> FFT </w:t>
      </w:r>
      <w:r>
        <w:rPr>
          <w:rFonts w:hint="eastAsia"/>
        </w:rPr>
        <w:t xml:space="preserve">和谐波模型解决周期性角度误差；</w:t>
      </w:r>
    </w:p>
    <w:p>
      <w:pPr>
        <w:pStyle w:val="Compact"/>
        <w:numPr>
          <w:ilvl w:val="0"/>
          <w:numId w:val="1008"/>
        </w:numPr>
      </w:pPr>
      <w:r>
        <w:rPr>
          <w:rFonts w:hint="eastAsia"/>
        </w:rPr>
        <w:t xml:space="preserve">用</w:t>
      </w:r>
      <w:r>
        <w:t xml:space="preserve"> ESO </w:t>
      </w:r>
      <w:r>
        <w:rPr>
          <w:rFonts w:hint="eastAsia"/>
        </w:rPr>
        <w:t xml:space="preserve">解决未建模扰动和噪声；</w:t>
      </w:r>
    </w:p>
    <w:p>
      <w:pPr>
        <w:pStyle w:val="Compact"/>
        <w:numPr>
          <w:ilvl w:val="0"/>
          <w:numId w:val="1008"/>
        </w:numPr>
      </w:pPr>
      <w:r>
        <w:rPr>
          <w:rFonts w:hint="eastAsia"/>
        </w:rPr>
        <w:t xml:space="preserve">最终输出给位置环、速度环或姿态融合模块。</w:t>
      </w:r>
    </w:p>
    <w:p>
      <w:pPr>
        <w:pStyle w:val="FirstParagraph"/>
      </w:pPr>
      <w:r>
        <w:rPr>
          <w:rFonts w:hint="eastAsia"/>
        </w:rPr>
        <w:t xml:space="preserve">该方法的优点是工程性强，计算量相对可控，适合</w:t>
      </w:r>
      <w:r>
        <w:t xml:space="preserve"> DSP、MCU </w:t>
      </w:r>
      <w:r>
        <w:rPr>
          <w:rFonts w:hint="eastAsia"/>
        </w:rPr>
        <w:t xml:space="preserve">或</w:t>
      </w:r>
      <w:r>
        <w:t xml:space="preserve"> FPGA </w:t>
      </w:r>
      <w:r>
        <w:rPr>
          <w:rFonts w:hint="eastAsia"/>
        </w:rPr>
        <w:t xml:space="preserve">实现。</w:t>
      </w:r>
    </w:p>
    <w:bookmarkEnd w:id="27"/>
    <w:bookmarkEnd w:id="28"/>
    <w:bookmarkStart w:id="38" w:name="方法三传感器与电机结构一体化的自位置检测方法"/>
    <w:p>
      <w:pPr>
        <w:pStyle w:val="Heading2"/>
      </w:pPr>
      <w:r>
        <w:t xml:space="preserve">3. </w:t>
      </w:r>
      <w:r>
        <w:rPr>
          <w:rFonts w:hint="eastAsia"/>
        </w:rPr>
        <w:t xml:space="preserve">方法三：传感器与电机结构一体化的自位置检测方法</w:t>
      </w:r>
    </w:p>
    <w:p>
      <w:pPr>
        <w:pStyle w:val="FirstParagraph"/>
      </w:pPr>
      <w:r>
        <w:rPr>
          <w:rFonts w:hint="eastAsia"/>
        </w:rPr>
        <w:t xml:space="preserve">对应论文：</w:t>
      </w:r>
      <w:r>
        <w:rPr>
          <w:rStyle w:val="VerbatimChar"/>
        </w:rPr>
        <w:t xml:space="preserve">A 3-D Printed Halbach-Cylinder Motor With Self-Position Sensing for Precision Motions</w:t>
      </w:r>
    </w:p>
    <w:bookmarkStart w:id="29" w:name="方法背景-2"/>
    <w:p>
      <w:pPr>
        <w:pStyle w:val="Heading3"/>
      </w:pPr>
      <w:r>
        <w:t xml:space="preserve">3.1 </w:t>
      </w:r>
      <w:r>
        <w:rPr>
          <w:rFonts w:hint="eastAsia"/>
        </w:rPr>
        <w:t xml:space="preserve">方法背景</w:t>
      </w:r>
    </w:p>
    <w:p>
      <w:pPr>
        <w:pStyle w:val="FirstParagraph"/>
      </w:pPr>
      <w:r>
        <w:rPr>
          <w:rFonts w:hint="eastAsia"/>
        </w:rPr>
        <w:t xml:space="preserve">前两种方法主要从信号处理和算法补偿角度提升</w:t>
      </w:r>
      <w:r>
        <w:t xml:space="preserve"> Hall </w:t>
      </w:r>
      <w:r>
        <w:rPr>
          <w:rFonts w:hint="eastAsia"/>
        </w:rPr>
        <w:t xml:space="preserve">位置检测精度。第三种方法强调从电机结构和磁场设计源头提高可测性。论文设计了一种基于</w:t>
      </w:r>
      <w:r>
        <w:t xml:space="preserve"> Halbach </w:t>
      </w:r>
      <w:r>
        <w:rPr>
          <w:rFonts w:hint="eastAsia"/>
        </w:rPr>
        <w:t xml:space="preserve">阵列的两相电机，通过结构设计形成较理想的磁场分布，并利用</w:t>
      </w:r>
      <w:r>
        <w:t xml:space="preserve"> Hall-effect sensors </w:t>
      </w:r>
      <w:r>
        <w:rPr>
          <w:rFonts w:hint="eastAsia"/>
        </w:rPr>
        <w:t xml:space="preserve">实时测量转子位置。</w:t>
      </w:r>
    </w:p>
    <w:p>
      <w:pPr>
        <w:pStyle w:val="BodyText"/>
      </w:pPr>
      <w:r>
        <w:rPr>
          <w:rFonts w:hint="eastAsia"/>
        </w:rPr>
        <w:t xml:space="preserve">该思路对特制微型电机和云台执行器很有价值，因为云台项目不仅要做算法，还要考虑电机、磁钢、传感器和机械结构的协同设计。</w:t>
      </w:r>
    </w:p>
    <w:bookmarkEnd w:id="29"/>
    <w:bookmarkStart w:id="30" w:name="核心思想-2"/>
    <w:p>
      <w:pPr>
        <w:pStyle w:val="Heading3"/>
      </w:pPr>
      <w:r>
        <w:t xml:space="preserve">3.2 </w:t>
      </w:r>
      <w:r>
        <w:rPr>
          <w:rFonts w:hint="eastAsia"/>
        </w:rPr>
        <w:t xml:space="preserve">核心思想</w:t>
      </w:r>
    </w:p>
    <w:p>
      <w:pPr>
        <w:pStyle w:val="FirstParagraph"/>
      </w:pPr>
      <w:r>
        <w:rPr>
          <w:rFonts w:hint="eastAsia"/>
        </w:rPr>
        <w:t xml:space="preserve">该方法的核心不是“在已有电机上勉强补偿”，而是在电机设计阶段就让磁场分布和传感器布置更适合位置检测：</w:t>
      </w:r>
    </w:p>
    <w:p>
      <w:pPr>
        <w:pStyle w:val="Compact"/>
        <w:numPr>
          <w:ilvl w:val="0"/>
          <w:numId w:val="1009"/>
        </w:numPr>
      </w:pPr>
      <w:r>
        <w:rPr>
          <w:rFonts w:hint="eastAsia"/>
        </w:rPr>
        <w:t xml:space="preserve">通过</w:t>
      </w:r>
      <w:r>
        <w:t xml:space="preserve"> Halbach </w:t>
      </w:r>
      <w:r>
        <w:rPr>
          <w:rFonts w:hint="eastAsia"/>
        </w:rPr>
        <w:t xml:space="preserve">磁体结构增强目标区域磁场；</w:t>
      </w:r>
    </w:p>
    <w:p>
      <w:pPr>
        <w:pStyle w:val="Compact"/>
        <w:numPr>
          <w:ilvl w:val="0"/>
          <w:numId w:val="1009"/>
        </w:numPr>
      </w:pPr>
      <w:r>
        <w:rPr>
          <w:rFonts w:hint="eastAsia"/>
        </w:rPr>
        <w:t xml:space="preserve">使传感器处的磁场变化更规律；</w:t>
      </w:r>
    </w:p>
    <w:p>
      <w:pPr>
        <w:pStyle w:val="Compact"/>
        <w:numPr>
          <w:ilvl w:val="0"/>
          <w:numId w:val="1009"/>
        </w:numPr>
      </w:pPr>
      <w:r>
        <w:rPr>
          <w:rFonts w:hint="eastAsia"/>
        </w:rPr>
        <w:t xml:space="preserve">在结构上预留</w:t>
      </w:r>
      <w:r>
        <w:t xml:space="preserve"> Hall </w:t>
      </w:r>
      <w:r>
        <w:rPr>
          <w:rFonts w:hint="eastAsia"/>
        </w:rPr>
        <w:t xml:space="preserve">传感器测量位置；</w:t>
      </w:r>
    </w:p>
    <w:p>
      <w:pPr>
        <w:pStyle w:val="Compact"/>
        <w:numPr>
          <w:ilvl w:val="0"/>
          <w:numId w:val="1009"/>
        </w:numPr>
      </w:pPr>
      <w:r>
        <w:rPr>
          <w:rFonts w:hint="eastAsia"/>
        </w:rPr>
        <w:t xml:space="preserve">将</w:t>
      </w:r>
      <w:r>
        <w:t xml:space="preserve"> Hall </w:t>
      </w:r>
      <w:r>
        <w:rPr>
          <w:rFonts w:hint="eastAsia"/>
        </w:rPr>
        <w:t xml:space="preserve">信号直接作为闭环位置反馈；</w:t>
      </w:r>
    </w:p>
    <w:p>
      <w:pPr>
        <w:pStyle w:val="Compact"/>
        <w:numPr>
          <w:ilvl w:val="0"/>
          <w:numId w:val="1009"/>
        </w:numPr>
      </w:pPr>
      <w:r>
        <w:rPr>
          <w:rFonts w:hint="eastAsia"/>
        </w:rPr>
        <w:t xml:space="preserve">用简单、可实现的闭环控制验证位置检测效果。</w:t>
      </w:r>
    </w:p>
    <w:p>
      <w:pPr>
        <w:pStyle w:val="FirstParagraph"/>
      </w:pPr>
      <w:r>
        <w:rPr>
          <w:rFonts w:hint="eastAsia"/>
        </w:rPr>
        <w:t xml:space="preserve">论文中的电机使用两路</w:t>
      </w:r>
      <w:r>
        <w:t xml:space="preserve"> Hall </w:t>
      </w:r>
      <w:r>
        <w:rPr>
          <w:rFonts w:hint="eastAsia"/>
        </w:rPr>
        <w:t xml:space="preserve">传感器反馈位置，公开摘要中给出理论角分辨率约</w:t>
      </w:r>
      <w:r>
        <w:t xml:space="preserve"> 0.16 </w:t>
      </w:r>
      <w:r>
        <w:rPr>
          <w:rFonts w:hint="eastAsia"/>
        </w:rPr>
        <w:t xml:space="preserve">deg，闭环定位最小步进约</w:t>
      </w:r>
      <w:r>
        <w:t xml:space="preserve"> 0.32 </w:t>
      </w:r>
      <w:r>
        <w:rPr>
          <w:rFonts w:hint="eastAsia"/>
        </w:rPr>
        <w:t xml:space="preserve">deg，运动和速度跟踪误差小于</w:t>
      </w:r>
      <w:r>
        <w:t xml:space="preserve"> 0.64 deg。</w:t>
      </w:r>
    </w:p>
    <w:bookmarkEnd w:id="30"/>
    <w:bookmarkStart w:id="31" w:name="核心公式-2"/>
    <w:p>
      <w:pPr>
        <w:pStyle w:val="Heading3"/>
      </w:pPr>
      <w:r>
        <w:t xml:space="preserve">3.3 </w:t>
      </w:r>
      <w:r>
        <w:rPr>
          <w:rFonts w:hint="eastAsia"/>
        </w:rPr>
        <w:t xml:space="preserve">核心公式</w:t>
      </w:r>
    </w:p>
    <w:p>
      <w:pPr>
        <w:pStyle w:val="FirstParagraph"/>
      </w:pPr>
      <w:r>
        <w:rPr>
          <w:rFonts w:hint="eastAsia"/>
        </w:rPr>
        <w:t xml:space="preserve">线性</w:t>
      </w:r>
      <w:r>
        <w:t xml:space="preserve"> Hall </w:t>
      </w:r>
      <w:r>
        <w:rPr>
          <w:rFonts w:hint="eastAsia"/>
        </w:rPr>
        <w:t xml:space="preserve">传感器输出电压可表示为：</w:t>
      </w:r>
    </w:p>
    <w:p>
      <w:pPr>
        <w:pStyle w:val="BodyText"/>
      </w:pPr>
      <m:oMathPara>
        <m:oMathParaPr>
          <m:jc m:val="center"/>
        </m:oMathParaPr>
        <m:oMath>
          <m:sSub>
            <m:e>
              <m:r>
                <m:t>V</m:t>
              </m:r>
            </m:e>
            <m:sub>
              <m:r>
                <m:t>h</m:t>
              </m:r>
            </m:sub>
          </m:sSub>
          <m:r>
            <m:rPr>
              <m:sty m:val="p"/>
            </m:rPr>
            <m:t>(</m:t>
          </m:r>
          <m:r>
            <m:t>θ</m:t>
          </m:r>
          <m:r>
            <m:rPr>
              <m:sty m:val="p"/>
            </m:rPr>
            <m:t>)</m:t>
          </m:r>
          <m:r>
            <m:rPr>
              <m:sty m:val="p"/>
            </m:rPr>
            <m:t>=</m:t>
          </m:r>
          <m:sSub>
            <m:e>
              <m:r>
                <m:t>V</m:t>
              </m:r>
            </m:e>
            <m:sub>
              <m:r>
                <m:rPr>
                  <m:sty m:val="p"/>
                </m:rPr>
                <m:t>o</m:t>
              </m:r>
              <m:r>
                <m:rPr>
                  <m:sty m:val="p"/>
                </m:rPr>
                <m:t>f</m:t>
              </m:r>
              <m:r>
                <m:rPr>
                  <m:sty m:val="p"/>
                </m:rPr>
                <m:t>f</m:t>
              </m:r>
              <m:r>
                <m:rPr>
                  <m:sty m:val="p"/>
                </m:rPr>
                <m:t>,</m:t>
              </m:r>
              <m:r>
                <m:t>h</m:t>
              </m:r>
            </m:sub>
          </m:sSub>
          <m:r>
            <m:rPr>
              <m:sty m:val="p"/>
            </m:rPr>
            <m:t>+</m:t>
          </m:r>
          <m:sSub>
            <m:e>
              <m:r>
                <m:t>S</m:t>
              </m:r>
            </m:e>
            <m:sub>
              <m:r>
                <m:t>h</m:t>
              </m:r>
            </m:sub>
          </m:sSub>
          <m:sSub>
            <m:e>
              <m:r>
                <m:t>B</m:t>
              </m:r>
            </m:e>
            <m:sub>
              <m:r>
                <m:t>h</m:t>
              </m:r>
            </m:sub>
          </m:sSub>
          <m:r>
            <m:rPr>
              <m:sty m:val="p"/>
            </m:rPr>
            <m:t>(</m:t>
          </m:r>
          <m:r>
            <m:t>θ</m:t>
          </m:r>
          <m:r>
            <m:rPr>
              <m:sty m:val="p"/>
            </m:rPr>
            <m:t>)</m:t>
          </m:r>
          <m:r>
            <m:rPr>
              <m:sty m:val="p"/>
            </m:rPr>
            <m:t>+</m:t>
          </m:r>
          <m:sSub>
            <m:e>
              <m:r>
                <m:t>n</m:t>
              </m:r>
            </m:e>
            <m:sub>
              <m:r>
                <m:t>h</m:t>
              </m:r>
            </m:sub>
          </m:sSub>
        </m:oMath>
      </m:oMathPara>
    </w:p>
    <w:p>
      <w:pPr>
        <w:pStyle w:val="FirstParagraph"/>
      </w:pPr>
      <w:r>
        <w:rPr>
          <w:rFonts w:hint="eastAsia"/>
        </w:rPr>
        <w:t xml:space="preserve">其中</w:t>
      </w:r>
      <w:r>
        <w:t xml:space="preserve"> </w:t>
      </w:r>
      <w:r>
        <w:rPr>
          <w:rStyle w:val="VerbatimChar"/>
        </w:rPr>
        <w:t xml:space="preserve">V_off,h</w:t>
      </w:r>
      <w:r>
        <w:t xml:space="preserve"> </w:t>
      </w:r>
      <w:r>
        <w:rPr>
          <w:rFonts w:hint="eastAsia"/>
        </w:rPr>
        <w:t xml:space="preserve">为零偏，</w:t>
      </w:r>
      <w:r>
        <w:rPr>
          <w:rStyle w:val="VerbatimChar"/>
        </w:rPr>
        <w:t xml:space="preserve">S_h</w:t>
      </w:r>
      <w:r>
        <w:t xml:space="preserve"> </w:t>
      </w:r>
      <w:r>
        <w:rPr>
          <w:rFonts w:hint="eastAsia"/>
        </w:rPr>
        <w:t xml:space="preserve">为灵敏度，</w:t>
      </w:r>
      <w:r>
        <w:rPr>
          <w:rStyle w:val="VerbatimChar"/>
        </w:rPr>
        <w:t xml:space="preserve">B_h(theta)</w:t>
      </w:r>
      <w:r>
        <w:t xml:space="preserve"> </w:t>
      </w:r>
      <w:r>
        <w:rPr>
          <w:rFonts w:hint="eastAsia"/>
        </w:rPr>
        <w:t xml:space="preserve">为传感器位置处磁感应强度，</w:t>
      </w:r>
      <w:r>
        <w:rPr>
          <w:rStyle w:val="VerbatimChar"/>
        </w:rPr>
        <w:t xml:space="preserve">n_h</w:t>
      </w:r>
      <w:r>
        <w:t xml:space="preserve"> </w:t>
      </w:r>
      <w:r>
        <w:rPr>
          <w:rFonts w:hint="eastAsia"/>
        </w:rPr>
        <w:t xml:space="preserve">为噪声。</w:t>
      </w:r>
    </w:p>
    <w:p>
      <w:pPr>
        <w:pStyle w:val="BodyText"/>
      </w:pPr>
      <w:r>
        <w:rPr>
          <w:rFonts w:hint="eastAsia"/>
        </w:rPr>
        <w:t xml:space="preserve">若结构设计较理想，两个正交方向的磁场可近似为：</w:t>
      </w:r>
    </w:p>
    <w:p>
      <w:pPr>
        <w:pStyle w:val="BodyText"/>
      </w:pPr>
      <m:oMathPara>
        <m:oMathParaPr>
          <m:jc m:val="center"/>
        </m:oMathParaPr>
        <m:oMath>
          <m:sSub>
            <m:e>
              <m:r>
                <m:t>B</m:t>
              </m:r>
            </m:e>
            <m:sub>
              <m:r>
                <m:t>x</m:t>
              </m:r>
            </m:sub>
          </m:sSub>
          <m:r>
            <m:rPr>
              <m:sty m:val="p"/>
            </m:rPr>
            <m:t>(</m:t>
          </m:r>
          <m:r>
            <m:t>θ</m:t>
          </m:r>
          <m:r>
            <m:rPr>
              <m:sty m:val="p"/>
            </m:rPr>
            <m:t>)</m:t>
          </m:r>
          <m:r>
            <m:rPr>
              <m:sty m:val="p"/>
            </m:rPr>
            <m:t>=</m:t>
          </m:r>
          <m:sSub>
            <m:e>
              <m:r>
                <m:t>B</m:t>
              </m:r>
            </m:e>
            <m:sub>
              <m:r>
                <m:t>0</m:t>
              </m:r>
            </m:sub>
          </m:sSub>
          <m:r>
            <m:rPr>
              <m:sty m:val="p"/>
            </m:rPr>
            <m:t>cos</m:t>
          </m:r>
          <m:r>
            <m:t>θ</m:t>
          </m:r>
          <m:r>
            <m:rPr>
              <m:sty m:val="p"/>
            </m:rPr>
            <m:t>+</m:t>
          </m:r>
          <m:sSub>
            <m:e>
              <m:r>
                <m:t>ε</m:t>
              </m:r>
            </m:e>
            <m:sub>
              <m:r>
                <m:t>x</m:t>
              </m:r>
            </m:sub>
          </m:sSub>
          <m:r>
            <m:rPr>
              <m:sty m:val="p"/>
            </m:rPr>
            <m:t>(</m:t>
          </m:r>
          <m:r>
            <m:t>θ</m:t>
          </m:r>
          <m:r>
            <m:rPr>
              <m:sty m:val="p"/>
            </m:rPr>
            <m:t>)</m:t>
          </m:r>
        </m:oMath>
      </m:oMathPara>
    </w:p>
    <w:p>
      <w:pPr>
        <w:pStyle w:val="FirstParagraph"/>
      </w:pPr>
      <m:oMathPara>
        <m:oMathParaPr>
          <m:jc m:val="center"/>
        </m:oMathParaPr>
        <m:oMath>
          <m:sSub>
            <m:e>
              <m:r>
                <m:t>B</m:t>
              </m:r>
            </m:e>
            <m:sub>
              <m:r>
                <m:t>y</m:t>
              </m:r>
            </m:sub>
          </m:sSub>
          <m:r>
            <m:rPr>
              <m:sty m:val="p"/>
            </m:rPr>
            <m:t>(</m:t>
          </m:r>
          <m:r>
            <m:t>θ</m:t>
          </m:r>
          <m:r>
            <m:rPr>
              <m:sty m:val="p"/>
            </m:rPr>
            <m:t>)</m:t>
          </m:r>
          <m:r>
            <m:rPr>
              <m:sty m:val="p"/>
            </m:rPr>
            <m:t>=</m:t>
          </m:r>
          <m:sSub>
            <m:e>
              <m:r>
                <m:t>B</m:t>
              </m:r>
            </m:e>
            <m:sub>
              <m:r>
                <m:t>0</m:t>
              </m:r>
            </m:sub>
          </m:sSub>
          <m:r>
            <m:rPr>
              <m:sty m:val="p"/>
            </m:rPr>
            <m:t>sin</m:t>
          </m:r>
          <m:r>
            <m:t>θ</m:t>
          </m:r>
          <m:r>
            <m:rPr>
              <m:sty m:val="p"/>
            </m:rPr>
            <m:t>+</m:t>
          </m:r>
          <m:sSub>
            <m:e>
              <m:r>
                <m:t>ε</m:t>
              </m:r>
            </m:e>
            <m:sub>
              <m:r>
                <m:t>y</m:t>
              </m:r>
            </m:sub>
          </m:sSub>
          <m:r>
            <m:rPr>
              <m:sty m:val="p"/>
            </m:rPr>
            <m:t>(</m:t>
          </m:r>
          <m:r>
            <m:t>θ</m:t>
          </m:r>
          <m:r>
            <m:rPr>
              <m:sty m:val="p"/>
            </m:rPr>
            <m:t>)</m:t>
          </m:r>
        </m:oMath>
      </m:oMathPara>
    </w:p>
    <w:p>
      <w:pPr>
        <w:pStyle w:val="FirstParagraph"/>
      </w:pPr>
      <w:r>
        <w:rPr>
          <w:rFonts w:hint="eastAsia"/>
        </w:rPr>
        <w:t xml:space="preserve">其中</w:t>
      </w:r>
      <w:r>
        <w:t xml:space="preserve"> </w:t>
      </w:r>
      <w:r>
        <w:rPr>
          <w:rStyle w:val="VerbatimChar"/>
        </w:rPr>
        <w:t xml:space="preserve">epsilon_x(theta)</w:t>
      </w:r>
      <w:r>
        <w:t xml:space="preserve">、</w:t>
      </w:r>
      <w:r>
        <w:rPr>
          <w:rStyle w:val="VerbatimChar"/>
        </w:rPr>
        <w:t xml:space="preserve">epsilon_y(theta)</w:t>
      </w:r>
      <w:r>
        <w:t xml:space="preserve"> </w:t>
      </w:r>
      <w:r>
        <w:rPr>
          <w:rFonts w:hint="eastAsia"/>
        </w:rPr>
        <w:t xml:space="preserve">表示磁场非理想、安装误差和结构误差引起的残差项。</w:t>
      </w:r>
    </w:p>
    <w:p>
      <w:pPr>
        <w:pStyle w:val="BodyText"/>
      </w:pPr>
      <w:r>
        <w:rPr>
          <w:rFonts w:hint="eastAsia"/>
        </w:rPr>
        <w:t xml:space="preserve">经过零偏和增益校正：</w:t>
      </w:r>
    </w:p>
    <w:p>
      <w:pPr>
        <w:pStyle w:val="BodyText"/>
      </w:pPr>
      <m:oMathPara>
        <m:oMathParaPr>
          <m:jc m:val="center"/>
        </m:oMathParaPr>
        <m:oMath>
          <m:sSub>
            <m:e>
              <m:acc>
                <m:accPr>
                  <m:chr m:val="̃"/>
                </m:accPr>
                <m:e>
                  <m:r>
                    <m:t>B</m:t>
                  </m:r>
                </m:e>
              </m:acc>
            </m:e>
            <m:sub>
              <m:r>
                <m:t>x</m:t>
              </m:r>
            </m:sub>
          </m:sSub>
          <m:r>
            <m:rPr>
              <m:sty m:val="p"/>
            </m:rPr>
            <m:t>=</m:t>
          </m:r>
          <m:f>
            <m:fPr>
              <m:type m:val="bar"/>
            </m:fPr>
            <m:num>
              <m:sSub>
                <m:e>
                  <m:r>
                    <m:t>V</m:t>
                  </m:r>
                </m:e>
                <m:sub>
                  <m:r>
                    <m:t>x</m:t>
                  </m:r>
                </m:sub>
              </m:sSub>
              <m:r>
                <m:rPr>
                  <m:sty m:val="p"/>
                </m:rPr>
                <m:t>−</m:t>
              </m:r>
              <m:sSub>
                <m:e>
                  <m:r>
                    <m:t>V</m:t>
                  </m:r>
                </m:e>
                <m:sub>
                  <m:r>
                    <m:rPr>
                      <m:sty m:val="p"/>
                    </m:rPr>
                    <m:t>o</m:t>
                  </m:r>
                  <m:r>
                    <m:rPr>
                      <m:sty m:val="p"/>
                    </m:rPr>
                    <m:t>f</m:t>
                  </m:r>
                  <m:r>
                    <m:rPr>
                      <m:sty m:val="p"/>
                    </m:rPr>
                    <m:t>f</m:t>
                  </m:r>
                  <m:r>
                    <m:rPr>
                      <m:sty m:val="p"/>
                    </m:rPr>
                    <m:t>,</m:t>
                  </m:r>
                  <m:r>
                    <m:t>x</m:t>
                  </m:r>
                </m:sub>
              </m:sSub>
            </m:num>
            <m:den>
              <m:sSub>
                <m:e>
                  <m:r>
                    <m:t>S</m:t>
                  </m:r>
                </m:e>
                <m:sub>
                  <m:r>
                    <m:t>x</m:t>
                  </m:r>
                </m:sub>
              </m:sSub>
            </m:den>
          </m:f>
        </m:oMath>
      </m:oMathPara>
    </w:p>
    <w:p>
      <w:pPr>
        <w:pStyle w:val="FirstParagraph"/>
      </w:pPr>
      <m:oMathPara>
        <m:oMathParaPr>
          <m:jc m:val="center"/>
        </m:oMathParaPr>
        <m:oMath>
          <m:sSub>
            <m:e>
              <m:acc>
                <m:accPr>
                  <m:chr m:val="̃"/>
                </m:accPr>
                <m:e>
                  <m:r>
                    <m:t>B</m:t>
                  </m:r>
                </m:e>
              </m:acc>
            </m:e>
            <m:sub>
              <m:r>
                <m:t>y</m:t>
              </m:r>
            </m:sub>
          </m:sSub>
          <m:r>
            <m:rPr>
              <m:sty m:val="p"/>
            </m:rPr>
            <m:t>=</m:t>
          </m:r>
          <m:f>
            <m:fPr>
              <m:type m:val="bar"/>
            </m:fPr>
            <m:num>
              <m:sSub>
                <m:e>
                  <m:r>
                    <m:t>V</m:t>
                  </m:r>
                </m:e>
                <m:sub>
                  <m:r>
                    <m:t>y</m:t>
                  </m:r>
                </m:sub>
              </m:sSub>
              <m:r>
                <m:rPr>
                  <m:sty m:val="p"/>
                </m:rPr>
                <m:t>−</m:t>
              </m:r>
              <m:sSub>
                <m:e>
                  <m:r>
                    <m:t>V</m:t>
                  </m:r>
                </m:e>
                <m:sub>
                  <m:r>
                    <m:rPr>
                      <m:sty m:val="p"/>
                    </m:rPr>
                    <m:t>o</m:t>
                  </m:r>
                  <m:r>
                    <m:rPr>
                      <m:sty m:val="p"/>
                    </m:rPr>
                    <m:t>f</m:t>
                  </m:r>
                  <m:r>
                    <m:rPr>
                      <m:sty m:val="p"/>
                    </m:rPr>
                    <m:t>f</m:t>
                  </m:r>
                  <m:r>
                    <m:rPr>
                      <m:sty m:val="p"/>
                    </m:rPr>
                    <m:t>,</m:t>
                  </m:r>
                  <m:r>
                    <m:t>y</m:t>
                  </m:r>
                </m:sub>
              </m:sSub>
            </m:num>
            <m:den>
              <m:sSub>
                <m:e>
                  <m:r>
                    <m:t>S</m:t>
                  </m:r>
                </m:e>
                <m:sub>
                  <m:r>
                    <m:t>y</m:t>
                  </m:r>
                </m:sub>
              </m:sSub>
            </m:den>
          </m:f>
        </m:oMath>
      </m:oMathPara>
    </w:p>
    <w:p>
      <w:pPr>
        <w:pStyle w:val="FirstParagraph"/>
      </w:pPr>
      <w:r>
        <w:rPr>
          <w:rFonts w:hint="eastAsia"/>
        </w:rPr>
        <w:t xml:space="preserve">轴角估计为：</w:t>
      </w:r>
    </w:p>
    <w:p>
      <w:pPr>
        <w:pStyle w:val="BodyText"/>
      </w:pPr>
      <m:oMathPara>
        <m:oMathParaPr>
          <m:jc m:val="center"/>
        </m:oMathParaPr>
        <m:oMath>
          <m:acc>
            <m:accPr>
              <m:chr m:val="̂"/>
            </m:accPr>
            <m:e>
              <m:r>
                <m:t>θ</m:t>
              </m:r>
            </m:e>
          </m:acc>
          <m:r>
            <m:rPr>
              <m:sty m:val="p"/>
            </m:rPr>
            <m:t>=</m:t>
          </m:r>
          <m:r>
            <m:rPr>
              <m:sty m:val="p"/>
            </m:rPr>
            <m:t>atan2</m:t>
          </m:r>
          <m:r>
            <m:rPr>
              <m:sty m:val="p"/>
            </m:rPr>
            <m:t>(</m:t>
          </m:r>
          <m:sSub>
            <m:e>
              <m:acc>
                <m:accPr>
                  <m:chr m:val="̃"/>
                </m:accPr>
                <m:e>
                  <m:r>
                    <m:t>B</m:t>
                  </m:r>
                </m:e>
              </m:acc>
            </m:e>
            <m:sub>
              <m:r>
                <m:t>y</m:t>
              </m:r>
            </m:sub>
          </m:sSub>
          <m:r>
            <m:rPr>
              <m:sty m:val="p"/>
            </m:rPr>
            <m:t>,</m:t>
          </m:r>
          <m:sSub>
            <m:e>
              <m:acc>
                <m:accPr>
                  <m:chr m:val="̃"/>
                </m:accPr>
                <m:e>
                  <m:r>
                    <m:t>B</m:t>
                  </m:r>
                </m:e>
              </m:acc>
            </m:e>
            <m:sub>
              <m:r>
                <m:t>x</m:t>
              </m:r>
            </m:sub>
          </m:sSub>
          <m:r>
            <m:rPr>
              <m:sty m:val="p"/>
            </m:rPr>
            <m:t>)</m:t>
          </m:r>
        </m:oMath>
      </m:oMathPara>
    </w:p>
    <w:p>
      <w:pPr>
        <w:pStyle w:val="FirstParagraph"/>
      </w:pPr>
      <w:r>
        <w:rPr>
          <w:rFonts w:hint="eastAsia"/>
        </w:rPr>
        <w:t xml:space="preserve">角度噪声可粗略估计为：</w:t>
      </w:r>
    </w:p>
    <w:p>
      <w:pPr>
        <w:pStyle w:val="BodyText"/>
      </w:pPr>
      <m:oMathPara>
        <m:oMathParaPr>
          <m:jc m:val="center"/>
        </m:oMathParaPr>
        <m:oMath>
          <m:sSub>
            <m:e>
              <m:r>
                <m:t>σ</m:t>
              </m:r>
            </m:e>
            <m:sub>
              <m:r>
                <m:t>θ</m:t>
              </m:r>
            </m:sub>
          </m:sSub>
          <m:r>
            <m:rPr>
              <m:sty m:val="p"/>
            </m:rPr>
            <m:t>≈</m:t>
          </m:r>
          <m:f>
            <m:fPr>
              <m:type m:val="bar"/>
            </m:fPr>
            <m:num>
              <m:sSub>
                <m:e>
                  <m:r>
                    <m:t>σ</m:t>
                  </m:r>
                </m:e>
                <m:sub>
                  <m:r>
                    <m:t>B</m:t>
                  </m:r>
                </m:sub>
              </m:sSub>
            </m:num>
            <m:den>
              <m:sSub>
                <m:e>
                  <m:r>
                    <m:t>B</m:t>
                  </m:r>
                </m:e>
                <m:sub>
                  <m:r>
                    <m:t>0</m:t>
                  </m:r>
                </m:sub>
              </m:sSub>
            </m:den>
          </m:f>
        </m:oMath>
      </m:oMathPara>
    </w:p>
    <w:p>
      <w:pPr>
        <w:pStyle w:val="FirstParagraph"/>
      </w:pPr>
      <w:r>
        <w:rPr>
          <w:rFonts w:hint="eastAsia"/>
        </w:rPr>
        <w:t xml:space="preserve">或用电压噪声表示为：</w:t>
      </w:r>
    </w:p>
    <w:p>
      <w:pPr>
        <w:pStyle w:val="BodyText"/>
      </w:pPr>
      <m:oMathPara>
        <m:oMathParaPr>
          <m:jc m:val="center"/>
        </m:oMathParaPr>
        <m:oMath>
          <m:sSub>
            <m:e>
              <m:r>
                <m:t>σ</m:t>
              </m:r>
            </m:e>
            <m:sub>
              <m:r>
                <m:t>θ</m:t>
              </m:r>
            </m:sub>
          </m:sSub>
          <m:r>
            <m:rPr>
              <m:sty m:val="p"/>
            </m:rPr>
            <m:t>≈</m:t>
          </m:r>
          <m:f>
            <m:fPr>
              <m:type m:val="bar"/>
            </m:fPr>
            <m:num>
              <m:sSub>
                <m:e>
                  <m:r>
                    <m:t>σ</m:t>
                  </m:r>
                </m:e>
                <m:sub>
                  <m:r>
                    <m:t>V</m:t>
                  </m:r>
                </m:sub>
              </m:sSub>
            </m:num>
            <m:den>
              <m:r>
                <m:t>S</m:t>
              </m:r>
              <m:sSub>
                <m:e>
                  <m:r>
                    <m:t>B</m:t>
                  </m:r>
                </m:e>
                <m:sub>
                  <m:r>
                    <m:t>0</m:t>
                  </m:r>
                </m:sub>
              </m:sSub>
            </m:den>
          </m:f>
        </m:oMath>
      </m:oMathPara>
    </w:p>
    <w:p>
      <w:pPr>
        <w:pStyle w:val="FirstParagraph"/>
      </w:pPr>
      <w:r>
        <w:rPr>
          <w:rFonts w:hint="eastAsia"/>
        </w:rPr>
        <w:t xml:space="preserve">因此，结构设计的目标很明确：增大有效磁场幅值</w:t>
      </w:r>
      <w:r>
        <w:t xml:space="preserve"> </w:t>
      </w:r>
      <w:r>
        <w:rPr>
          <w:rStyle w:val="VerbatimChar"/>
        </w:rPr>
        <w:t xml:space="preserve">B0</w:t>
      </w:r>
      <w:r>
        <w:rPr>
          <w:rFonts w:hint="eastAsia"/>
        </w:rPr>
        <w:t xml:space="preserve">，降低噪声</w:t>
      </w:r>
      <w:r>
        <w:t xml:space="preserve"> </w:t>
      </w:r>
      <w:r>
        <w:rPr>
          <w:rStyle w:val="VerbatimChar"/>
        </w:rPr>
        <w:t xml:space="preserve">sigma_V</w:t>
      </w:r>
      <w:r>
        <w:rPr>
          <w:rFonts w:hint="eastAsia"/>
        </w:rPr>
        <w:t xml:space="preserve">，并减小非理想项</w:t>
      </w:r>
      <w:r>
        <w:t xml:space="preserve"> </w:t>
      </w:r>
      <w:r>
        <w:rPr>
          <w:rStyle w:val="VerbatimChar"/>
        </w:rPr>
        <w:t xml:space="preserve">epsilon_x(theta)</w:t>
      </w:r>
      <w:r>
        <w:t xml:space="preserve">、</w:t>
      </w:r>
      <w:r>
        <w:rPr>
          <w:rStyle w:val="VerbatimChar"/>
        </w:rPr>
        <w:t xml:space="preserve">epsilon_y(theta)</w:t>
      </w:r>
      <w:r>
        <w:t xml:space="preserve">。</w:t>
      </w:r>
    </w:p>
    <w:p>
      <w:pPr>
        <w:pStyle w:val="BodyText"/>
      </w:pPr>
      <w:r>
        <w:rPr>
          <w:rFonts w:hint="eastAsia"/>
        </w:rPr>
        <w:t xml:space="preserve">可将结构与传感器联合设计目标写成：</w:t>
      </w:r>
    </w:p>
    <w:p>
      <w:pPr>
        <w:pStyle w:val="BodyText"/>
      </w:pPr>
      <m:oMathPara>
        <m:oMathParaPr>
          <m:jc m:val="center"/>
        </m:oMathParaPr>
        <m:oMath>
          <m:limLow>
            <m:e>
              <m:r>
                <m:rPr>
                  <m:sty m:val="p"/>
                </m:rPr>
                <m:t>min</m:t>
              </m:r>
            </m:e>
            <m:lim>
              <m:r>
                <m:rPr>
                  <m:sty m:val="bi"/>
                </m:rPr>
                <m:t>p</m:t>
              </m:r>
            </m:lim>
          </m:limLow>
          <m:r>
            <m:t>J</m:t>
          </m:r>
          <m:r>
            <m:rPr>
              <m:sty m:val="p"/>
            </m:rPr>
            <m:t>(</m:t>
          </m:r>
          <m:r>
            <m:rPr>
              <m:sty m:val="bi"/>
            </m:rPr>
            <m:t>p</m:t>
          </m:r>
          <m:r>
            <m:rPr>
              <m:sty m:val="p"/>
            </m:rPr>
            <m:t>)</m:t>
          </m:r>
          <m:r>
            <m:rPr>
              <m:sty m:val="p"/>
            </m:rPr>
            <m:t>=</m:t>
          </m:r>
          <m:sSub>
            <m:e>
              <m:r>
                <m:t>w</m:t>
              </m:r>
            </m:e>
            <m:sub>
              <m:r>
                <m:t>1</m:t>
              </m:r>
            </m:sub>
          </m:sSub>
          <m:r>
            <m:rPr>
              <m:sty m:val="p"/>
            </m:rPr>
            <m:t>RMS</m:t>
          </m:r>
          <m:d>
            <m:dPr>
              <m:begChr m:val="("/>
              <m:sepChr m:val=""/>
              <m:endChr m:val=")"/>
              <m:grow/>
            </m:dPr>
            <m:e>
              <m:sSub>
                <m:e>
                  <m:r>
                    <m:t>e</m:t>
                  </m:r>
                </m:e>
                <m:sub>
                  <m:r>
                    <m:t>θ</m:t>
                  </m:r>
                </m:sub>
              </m:sSub>
            </m:e>
          </m:d>
          <m:r>
            <m:rPr>
              <m:sty m:val="p"/>
            </m:rPr>
            <m:t>+</m:t>
          </m:r>
          <m:sSub>
            <m:e>
              <m:r>
                <m:t>w</m:t>
              </m:r>
            </m:e>
            <m:sub>
              <m:r>
                <m:t>2</m:t>
              </m:r>
            </m:sub>
          </m:sSub>
          <m:r>
            <m:rPr>
              <m:sty m:val="p"/>
            </m:rPr>
            <m:t>Ripple</m:t>
          </m:r>
          <m:d>
            <m:dPr>
              <m:begChr m:val="("/>
              <m:sepChr m:val=""/>
              <m:endChr m:val=")"/>
              <m:grow/>
            </m:dPr>
            <m:e>
              <m:r>
                <m:t>B</m:t>
              </m:r>
            </m:e>
          </m:d>
          <m:r>
            <m:rPr>
              <m:sty m:val="p"/>
            </m:rPr>
            <m:t>+</m:t>
          </m:r>
          <m:sSub>
            <m:e>
              <m:r>
                <m:t>w</m:t>
              </m:r>
            </m:e>
            <m:sub>
              <m:r>
                <m:t>3</m:t>
              </m:r>
            </m:sub>
          </m:sSub>
          <m:r>
            <m:rPr>
              <m:sty m:val="p"/>
            </m:rPr>
            <m:t>Var</m:t>
          </m:r>
          <m:d>
            <m:dPr>
              <m:begChr m:val="("/>
              <m:sepChr m:val=""/>
              <m:endChr m:val=")"/>
              <m:grow/>
            </m:dPr>
            <m:e>
              <m:r>
                <m:t>g</m:t>
              </m:r>
              <m:r>
                <m:t>a</m:t>
              </m:r>
              <m:r>
                <m:t>p</m:t>
              </m:r>
            </m:e>
          </m:d>
        </m:oMath>
      </m:oMathPara>
    </w:p>
    <w:p>
      <w:pPr>
        <w:pStyle w:val="FirstParagraph"/>
      </w:pPr>
      <w:r>
        <w:rPr>
          <w:rFonts w:hint="eastAsia"/>
        </w:rPr>
        <w:t xml:space="preserve">其中</w:t>
      </w:r>
      <w:r>
        <w:t xml:space="preserve"> </w:t>
      </w:r>
      <w:r>
        <w:rPr>
          <w:rStyle w:val="VerbatimChar"/>
        </w:rPr>
        <w:t xml:space="preserve">p</w:t>
      </w:r>
      <w:r>
        <w:t xml:space="preserve"> </w:t>
      </w:r>
      <w:r>
        <w:rPr>
          <w:rFonts w:hint="eastAsia"/>
        </w:rPr>
        <w:t xml:space="preserve">表示磁钢尺寸、充磁方式、Hall</w:t>
      </w:r>
      <w:r>
        <w:t xml:space="preserve"> </w:t>
      </w:r>
      <w:r>
        <w:rPr>
          <w:rFonts w:hint="eastAsia"/>
        </w:rPr>
        <w:t xml:space="preserve">安装半径、气隙、PCB</w:t>
      </w:r>
      <w:r>
        <w:t xml:space="preserve"> </w:t>
      </w:r>
      <w:r>
        <w:rPr>
          <w:rFonts w:hint="eastAsia"/>
        </w:rPr>
        <w:t xml:space="preserve">位置等设计参数；</w:t>
      </w:r>
      <w:r>
        <w:rPr>
          <w:rStyle w:val="VerbatimChar"/>
        </w:rPr>
        <w:t xml:space="preserve">e_theta</w:t>
      </w:r>
      <w:r>
        <w:t xml:space="preserve"> </w:t>
      </w:r>
      <w:r>
        <w:rPr>
          <w:rFonts w:hint="eastAsia"/>
        </w:rPr>
        <w:t xml:space="preserve">为解角误差；</w:t>
      </w:r>
      <w:r>
        <w:rPr>
          <w:rStyle w:val="VerbatimChar"/>
        </w:rPr>
        <w:t xml:space="preserve">Ripple(B)</w:t>
      </w:r>
      <w:r>
        <w:t xml:space="preserve"> </w:t>
      </w:r>
      <w:r>
        <w:rPr>
          <w:rFonts w:hint="eastAsia"/>
        </w:rPr>
        <w:t xml:space="preserve">为磁场波动；</w:t>
      </w:r>
      <w:r>
        <w:rPr>
          <w:rStyle w:val="VerbatimChar"/>
        </w:rPr>
        <w:t xml:space="preserve">Var(gap)</w:t>
      </w:r>
      <w:r>
        <w:t xml:space="preserve"> </w:t>
      </w:r>
      <w:r>
        <w:rPr>
          <w:rFonts w:hint="eastAsia"/>
        </w:rPr>
        <w:t xml:space="preserve">为气隙变化。</w:t>
      </w:r>
    </w:p>
    <w:bookmarkEnd w:id="31"/>
    <w:bookmarkStart w:id="35" w:name="方法流程框图-2"/>
    <w:p>
      <w:pPr>
        <w:pStyle w:val="Heading3"/>
      </w:pPr>
      <w:r>
        <w:t xml:space="preserve">3.4 </w:t>
      </w:r>
      <w:r>
        <w:rPr>
          <w:rFonts w:hint="eastAsia"/>
        </w:rPr>
        <w:t xml:space="preserve">方法流程框图</w:t>
      </w:r>
    </w:p>
    <w:p>
      <w:pPr>
        <w:pStyle w:val="CaptionedFigure"/>
      </w:pPr>
      <w:r>
        <w:drawing>
          <wp:inline>
            <wp:extent cx="5334000" cy="1828800"/>
            <wp:effectExtent b="0" l="0" r="0" t="0"/>
            <wp:docPr descr="图 3 传感器与电机结构一体化自位置检测流程图" title="" id="33" name="Picture"/>
            <a:graphic>
              <a:graphicData uri="http://schemas.openxmlformats.org/drawingml/2006/picture">
                <pic:pic>
                  <pic:nvPicPr>
                    <pic:cNvPr descr="figures/linear_hall_method3_structure.png" id="34" name="Picture"/>
                    <pic:cNvPicPr>
                      <a:picLocks noChangeArrowheads="1" noChangeAspect="1"/>
                    </pic:cNvPicPr>
                  </pic:nvPicPr>
                  <pic:blipFill>
                    <a:blip r:embed="rId32"/>
                    <a:stretch>
                      <a:fillRect/>
                    </a:stretch>
                  </pic:blipFill>
                  <pic:spPr bwMode="auto">
                    <a:xfrm>
                      <a:off x="0" y="0"/>
                      <a:ext cx="5334000" cy="1828800"/>
                    </a:xfrm>
                    <a:prstGeom prst="rect">
                      <a:avLst/>
                    </a:prstGeom>
                    <a:noFill/>
                    <a:ln w="9525">
                      <a:noFill/>
                      <a:headEnd/>
                      <a:tailEnd/>
                    </a:ln>
                  </pic:spPr>
                </pic:pic>
              </a:graphicData>
            </a:graphic>
          </wp:inline>
        </w:drawing>
      </w:r>
    </w:p>
    <w:p>
      <w:pPr>
        <w:pStyle w:val="ImageCaption"/>
        <w:jc w:val="center"/>
      </w:pPr>
      <w:r>
        <w:rPr>
          <w:rFonts w:hint="eastAsia" w:ascii="宋体" w:hAnsi="宋体" w:eastAsia="宋体"/>
          <w:color w:val="475569"/>
          <w:sz w:val="18"/>
        </w:rPr>
        <w:t xml:space="preserve">图</w:t>
      </w:r>
      <w:r>
        <w:rPr>
          <w:rFonts w:ascii="宋体" w:hAnsi="宋体" w:eastAsia="宋体"/>
          <w:color w:val="475569"/>
          <w:sz w:val="18"/>
        </w:rPr>
        <w:t xml:space="preserve"> 3 </w:t>
      </w:r>
      <w:r>
        <w:rPr>
          <w:rFonts w:hint="eastAsia" w:ascii="宋体" w:hAnsi="宋体" w:eastAsia="宋体"/>
          <w:color w:val="475569"/>
          <w:sz w:val="18"/>
        </w:rPr>
        <w:t xml:space="preserve">传感器与电机结构一体化自位置检测流程图</w:t>
      </w:r>
    </w:p>
    <w:p>
      <w:pPr>
        <w:pStyle w:val="BodyText"/>
        <w:jc w:val="center"/>
      </w:pPr>
      <w:r>
        <w:rPr>
          <w:rFonts w:hint="eastAsia" w:ascii="宋体" w:hAnsi="宋体" w:eastAsia="宋体"/>
          <w:i/>
          <w:iCs/>
          <w:color w:val="475569"/>
          <w:sz w:val="18"/>
        </w:rPr>
        <w:t xml:space="preserve">图</w:t>
      </w:r>
      <w:r>
        <w:rPr>
          <w:rFonts w:ascii="宋体" w:hAnsi="宋体" w:eastAsia="宋体"/>
          <w:i/>
          <w:iCs/>
          <w:color w:val="475569"/>
          <w:sz w:val="18"/>
        </w:rPr>
        <w:t xml:space="preserve"> 3 </w:t>
      </w:r>
      <w:r>
        <w:rPr>
          <w:rFonts w:hint="eastAsia" w:ascii="宋体" w:hAnsi="宋体" w:eastAsia="宋体"/>
          <w:i/>
          <w:iCs/>
          <w:color w:val="475569"/>
          <w:sz w:val="18"/>
        </w:rPr>
        <w:t xml:space="preserve">传感器与电机结构一体化自位置检测流程图</w:t>
      </w:r>
    </w:p>
    <w:bookmarkEnd w:id="35"/>
    <w:bookmarkStart w:id="36" w:name="方法流程-2"/>
    <w:p>
      <w:pPr>
        <w:pStyle w:val="Heading3"/>
      </w:pPr>
      <w:r>
        <w:t xml:space="preserve">3.5 </w:t>
      </w:r>
      <w:r>
        <w:rPr>
          <w:rFonts w:hint="eastAsia"/>
        </w:rPr>
        <w:t xml:space="preserve">方法流程</w:t>
      </w:r>
    </w:p>
    <w:p>
      <w:pPr>
        <w:numPr>
          <w:ilvl w:val="0"/>
          <w:numId w:val="1010"/>
        </w:numPr>
        <w:spacing w:line="283" w:lineRule="auto" w:after="80"/>
      </w:pPr>
      <w:r>
        <w:rPr>
          <w:rFonts w:hint="eastAsia" w:ascii="宋体" w:hAnsi="宋体" w:eastAsia="宋体"/>
          <w:sz w:val="21"/>
        </w:rPr>
        <w:t xml:space="preserve">磁路设计</w:t>
      </w:r>
      <w:r>
        <w:rPr>
          <w:rFonts w:ascii="宋体" w:hAnsi="宋体" w:eastAsia="宋体"/>
          <w:sz w:val="21"/>
        </w:rPr>
        <w:br/>
      </w:r>
      <w:r>
        <w:rPr>
          <w:rFonts w:hint="eastAsia" w:ascii="宋体" w:hAnsi="宋体" w:eastAsia="宋体"/>
          <w:sz w:val="21"/>
        </w:rPr>
        <w:t xml:space="preserve">在电机或云台轴系中布置永磁体，使传感器附近磁场具有稳定、可重复、单调或正余弦变化特征。</w:t>
      </w:r>
    </w:p>
    <w:p>
      <w:pPr>
        <w:numPr>
          <w:ilvl w:val="0"/>
          <w:numId w:val="1010"/>
        </w:numPr>
        <w:spacing w:line="283" w:lineRule="auto" w:after="80"/>
      </w:pPr>
      <w:r>
        <w:rPr>
          <w:rFonts w:hint="eastAsia" w:ascii="宋体" w:hAnsi="宋体" w:eastAsia="宋体"/>
          <w:sz w:val="21"/>
        </w:rPr>
        <w:t xml:space="preserve">传感器布局</w:t>
      </w:r>
      <w:r>
        <w:rPr>
          <w:rFonts w:ascii="宋体" w:hAnsi="宋体" w:eastAsia="宋体"/>
          <w:sz w:val="21"/>
        </w:rPr>
        <w:br/>
      </w:r>
      <w:r>
        <w:rPr>
          <w:rFonts w:hint="eastAsia" w:ascii="宋体" w:hAnsi="宋体" w:eastAsia="宋体"/>
          <w:sz w:val="21"/>
        </w:rPr>
        <w:t xml:space="preserve">根据磁场分布决定两颗</w:t>
      </w:r>
      <w:r>
        <w:rPr>
          <w:rFonts w:ascii="宋体" w:hAnsi="宋体" w:eastAsia="宋体"/>
          <w:sz w:val="21"/>
        </w:rPr>
        <w:t xml:space="preserve"> Hall </w:t>
      </w:r>
      <w:r>
        <w:rPr>
          <w:rFonts w:hint="eastAsia" w:ascii="宋体" w:hAnsi="宋体" w:eastAsia="宋体"/>
          <w:sz w:val="21"/>
        </w:rPr>
        <w:t xml:space="preserve">传感器的安装半径、夹角、气隙和方向。对旋转角检测，优先形成相差</w:t>
      </w:r>
      <w:r>
        <w:rPr>
          <w:rFonts w:ascii="宋体" w:hAnsi="宋体" w:eastAsia="宋体"/>
          <w:sz w:val="21"/>
        </w:rPr>
        <w:t xml:space="preserve"> 90 deg </w:t>
      </w:r>
      <w:r>
        <w:rPr>
          <w:rFonts w:hint="eastAsia" w:ascii="宋体" w:hAnsi="宋体" w:eastAsia="宋体"/>
          <w:sz w:val="21"/>
        </w:rPr>
        <w:t xml:space="preserve">的正余弦信号，不再增加第三路冗余传感器。</w:t>
      </w:r>
    </w:p>
    <w:p>
      <w:pPr>
        <w:numPr>
          <w:ilvl w:val="0"/>
          <w:numId w:val="1010"/>
        </w:numPr>
        <w:spacing w:line="283" w:lineRule="auto" w:after="80"/>
      </w:pPr>
      <w:r>
        <w:rPr>
          <w:rFonts w:hint="eastAsia" w:ascii="宋体" w:hAnsi="宋体" w:eastAsia="宋体"/>
          <w:sz w:val="21"/>
        </w:rPr>
        <w:t xml:space="preserve">结构集成</w:t>
      </w:r>
      <w:r>
        <w:rPr>
          <w:rFonts w:ascii="宋体" w:hAnsi="宋体" w:eastAsia="宋体"/>
          <w:sz w:val="21"/>
        </w:rPr>
        <w:br/>
      </w:r>
      <w:r>
        <w:rPr>
          <w:rFonts w:hint="eastAsia" w:ascii="宋体" w:hAnsi="宋体" w:eastAsia="宋体"/>
          <w:sz w:val="21"/>
        </w:rPr>
        <w:t xml:space="preserve">将传感器固定在刚性结构上，减少装配松动和气隙变化。对微型云台，可将</w:t>
      </w:r>
      <w:r>
        <w:rPr>
          <w:rFonts w:ascii="宋体" w:hAnsi="宋体" w:eastAsia="宋体"/>
          <w:sz w:val="21"/>
        </w:rPr>
        <w:t xml:space="preserve"> Hall </w:t>
      </w:r>
      <w:r>
        <w:rPr>
          <w:rFonts w:hint="eastAsia" w:ascii="宋体" w:hAnsi="宋体" w:eastAsia="宋体"/>
          <w:sz w:val="21"/>
        </w:rPr>
        <w:t xml:space="preserve">芯片直接布置在定子</w:t>
      </w:r>
      <w:r>
        <w:rPr>
          <w:rFonts w:ascii="宋体" w:hAnsi="宋体" w:eastAsia="宋体"/>
          <w:sz w:val="21"/>
        </w:rPr>
        <w:t xml:space="preserve"> PCB </w:t>
      </w:r>
      <w:r>
        <w:rPr>
          <w:rFonts w:hint="eastAsia" w:ascii="宋体" w:hAnsi="宋体" w:eastAsia="宋体"/>
          <w:sz w:val="21"/>
        </w:rPr>
        <w:t xml:space="preserve">上，磁钢安装在转子或轴端。</w:t>
      </w:r>
    </w:p>
    <w:p>
      <w:pPr>
        <w:numPr>
          <w:ilvl w:val="0"/>
          <w:numId w:val="1010"/>
        </w:numPr>
        <w:spacing w:line="283" w:lineRule="auto" w:after="80"/>
      </w:pPr>
      <w:r>
        <w:rPr>
          <w:rFonts w:hint="eastAsia" w:ascii="宋体" w:hAnsi="宋体" w:eastAsia="宋体"/>
          <w:sz w:val="21"/>
        </w:rPr>
        <w:t xml:space="preserve">初始标定</w:t>
      </w:r>
      <w:r>
        <w:rPr>
          <w:rFonts w:ascii="宋体" w:hAnsi="宋体" w:eastAsia="宋体"/>
          <w:sz w:val="21"/>
        </w:rPr>
        <w:br/>
      </w:r>
      <w:r>
        <w:rPr>
          <w:rFonts w:hint="eastAsia" w:ascii="宋体" w:hAnsi="宋体" w:eastAsia="宋体"/>
          <w:sz w:val="21"/>
        </w:rPr>
        <w:t xml:space="preserve">通过低速旋转采集一圈或多圈</w:t>
      </w:r>
      <w:r>
        <w:rPr>
          <w:rFonts w:ascii="宋体" w:hAnsi="宋体" w:eastAsia="宋体"/>
          <w:sz w:val="21"/>
        </w:rPr>
        <w:t xml:space="preserve"> Hall </w:t>
      </w:r>
      <w:r>
        <w:rPr>
          <w:rFonts w:hint="eastAsia" w:ascii="宋体" w:hAnsi="宋体" w:eastAsia="宋体"/>
          <w:sz w:val="21"/>
        </w:rPr>
        <w:t xml:space="preserve">数据，建立角度映射表，验证是否存在重复性、死区、跳变和饱和。</w:t>
      </w:r>
    </w:p>
    <w:p>
      <w:pPr>
        <w:numPr>
          <w:ilvl w:val="0"/>
          <w:numId w:val="1010"/>
        </w:numPr>
        <w:spacing w:line="283" w:lineRule="auto" w:after="80"/>
      </w:pPr>
      <w:r>
        <w:rPr>
          <w:rFonts w:hint="eastAsia" w:ascii="宋体" w:hAnsi="宋体" w:eastAsia="宋体"/>
          <w:sz w:val="21"/>
        </w:rPr>
        <w:t xml:space="preserve">闭环控制</w:t>
      </w:r>
      <w:r>
        <w:rPr>
          <w:rFonts w:ascii="宋体" w:hAnsi="宋体" w:eastAsia="宋体"/>
          <w:sz w:val="21"/>
        </w:rPr>
        <w:br/>
      </w:r>
      <w:r>
        <w:rPr>
          <w:rFonts w:hint="eastAsia" w:ascii="宋体" w:hAnsi="宋体" w:eastAsia="宋体"/>
          <w:sz w:val="21"/>
        </w:rPr>
        <w:t xml:space="preserve">将</w:t>
      </w:r>
      <w:r>
        <w:rPr>
          <w:rFonts w:ascii="宋体" w:hAnsi="宋体" w:eastAsia="宋体"/>
          <w:sz w:val="21"/>
        </w:rPr>
        <w:t xml:space="preserve"> Hall </w:t>
      </w:r>
      <w:r>
        <w:rPr>
          <w:rFonts w:hint="eastAsia" w:ascii="宋体" w:hAnsi="宋体" w:eastAsia="宋体"/>
          <w:sz w:val="21"/>
        </w:rPr>
        <w:t xml:space="preserve">解算角度作为位置环反馈，必要时与陀螺仪角速度进行互补滤波或卡尔曼融合。</w:t>
      </w:r>
    </w:p>
    <w:bookmarkEnd w:id="36"/>
    <w:bookmarkStart w:id="37" w:name="对云台项目的价值-2"/>
    <w:p>
      <w:pPr>
        <w:pStyle w:val="Heading3"/>
      </w:pPr>
      <w:r>
        <w:t xml:space="preserve">3.6 </w:t>
      </w:r>
      <w:r>
        <w:rPr>
          <w:rFonts w:hint="eastAsia"/>
        </w:rPr>
        <w:t xml:space="preserve">对云台项目的价值</w:t>
      </w:r>
    </w:p>
    <w:p>
      <w:pPr>
        <w:pStyle w:val="FirstParagraph"/>
      </w:pPr>
      <w:r>
        <w:rPr>
          <w:rFonts w:hint="eastAsia"/>
        </w:rPr>
        <w:t xml:space="preserve">该方法适合指导特制电机阶段的传感结构设计。若仅在成品电机上增加</w:t>
      </w:r>
      <w:r>
        <w:t xml:space="preserve"> Hall </w:t>
      </w:r>
      <w:r>
        <w:rPr>
          <w:rFonts w:hint="eastAsia"/>
        </w:rPr>
        <w:t xml:space="preserve">传感器，信号质量可能受限；如果在电机设计阶段同步优化磁钢、气隙、传感器位置和</w:t>
      </w:r>
      <w:r>
        <w:t xml:space="preserve"> PCB </w:t>
      </w:r>
      <w:r>
        <w:rPr>
          <w:rFonts w:hint="eastAsia"/>
        </w:rPr>
        <w:t xml:space="preserve">布局，则后续算法补偿压力会显著下降。对于多自由度云台，结构一体化设计还能减少体积、线束和装配误差。</w:t>
      </w:r>
    </w:p>
    <w:bookmarkEnd w:id="37"/>
    <w:bookmarkEnd w:id="38"/>
    <w:bookmarkStart w:id="42" w:name="三种方法的综合技术路线"/>
    <w:p>
      <w:pPr>
        <w:pStyle w:val="Heading2"/>
      </w:pPr>
      <w:r>
        <w:t xml:space="preserve">4. </w:t>
      </w:r>
      <w:r>
        <w:rPr>
          <w:rFonts w:hint="eastAsia"/>
        </w:rPr>
        <w:t xml:space="preserve">三种方法的综合技术路线</w:t>
      </w:r>
    </w:p>
    <w:p>
      <w:pPr>
        <w:pStyle w:val="FirstParagraph"/>
      </w:pPr>
      <w:r>
        <w:rPr>
          <w:rFonts w:hint="eastAsia"/>
        </w:rPr>
        <w:t xml:space="preserve">三篇论文可以组合成一个完整方案：</w:t>
      </w:r>
    </w:p>
    <w:p>
      <w:pPr>
        <w:numPr>
          <w:ilvl w:val="0"/>
          <w:numId w:val="1011"/>
        </w:numPr>
        <w:spacing w:line="283" w:lineRule="auto" w:after="80"/>
      </w:pPr>
      <w:r>
        <w:rPr>
          <w:rFonts w:hint="eastAsia" w:ascii="宋体" w:hAnsi="宋体" w:eastAsia="宋体"/>
          <w:sz w:val="21"/>
        </w:rPr>
        <w:t xml:space="preserve">方法三负责“结构可测”</w:t>
      </w:r>
      <w:r>
        <w:rPr>
          <w:rFonts w:ascii="宋体" w:hAnsi="宋体" w:eastAsia="宋体"/>
          <w:sz w:val="21"/>
        </w:rPr>
        <w:br/>
      </w:r>
      <w:r>
        <w:rPr>
          <w:rFonts w:hint="eastAsia" w:ascii="宋体" w:hAnsi="宋体" w:eastAsia="宋体"/>
          <w:sz w:val="21"/>
        </w:rPr>
        <w:t xml:space="preserve">在电机和云台结构设计阶段，使磁场分布适合</w:t>
      </w:r>
      <w:r>
        <w:rPr>
          <w:rFonts w:ascii="宋体" w:hAnsi="宋体" w:eastAsia="宋体"/>
          <w:sz w:val="21"/>
        </w:rPr>
        <w:t xml:space="preserve"> Hall </w:t>
      </w:r>
      <w:r>
        <w:rPr>
          <w:rFonts w:hint="eastAsia" w:ascii="宋体" w:hAnsi="宋体" w:eastAsia="宋体"/>
          <w:sz w:val="21"/>
        </w:rPr>
        <w:t xml:space="preserve">传感器检测，保证原始信号有足够幅值、重复性和相位关系。</w:t>
      </w:r>
    </w:p>
    <w:p>
      <w:pPr>
        <w:numPr>
          <w:ilvl w:val="0"/>
          <w:numId w:val="1011"/>
        </w:numPr>
        <w:spacing w:line="283" w:lineRule="auto" w:after="80"/>
      </w:pPr>
      <w:r>
        <w:rPr>
          <w:rFonts w:hint="eastAsia" w:ascii="宋体" w:hAnsi="宋体" w:eastAsia="宋体"/>
          <w:sz w:val="21"/>
        </w:rPr>
        <w:t xml:space="preserve">方法二负责“实时解算”</w:t>
      </w:r>
      <w:r>
        <w:rPr>
          <w:rFonts w:ascii="宋体" w:hAnsi="宋体" w:eastAsia="宋体"/>
          <w:sz w:val="21"/>
        </w:rPr>
        <w:br/>
      </w:r>
      <w:r>
        <w:rPr>
          <w:rFonts w:hint="eastAsia" w:ascii="宋体" w:hAnsi="宋体" w:eastAsia="宋体"/>
          <w:sz w:val="21"/>
        </w:rPr>
        <w:t xml:space="preserve">在控制器中实时完成归一化、谐波重构、ESO</w:t>
      </w:r>
      <w:r>
        <w:rPr>
          <w:rFonts w:ascii="宋体" w:hAnsi="宋体" w:eastAsia="宋体"/>
          <w:sz w:val="21"/>
        </w:rPr>
        <w:t xml:space="preserve"> </w:t>
      </w:r>
      <w:r>
        <w:rPr>
          <w:rFonts w:hint="eastAsia" w:ascii="宋体" w:hAnsi="宋体" w:eastAsia="宋体"/>
          <w:sz w:val="21"/>
        </w:rPr>
        <w:t xml:space="preserve">残差补偿和</w:t>
      </w:r>
      <w:r>
        <w:rPr>
          <w:rFonts w:ascii="宋体" w:hAnsi="宋体" w:eastAsia="宋体"/>
          <w:sz w:val="21"/>
        </w:rPr>
        <w:t xml:space="preserve"> </w:t>
      </w:r>
      <w:r>
        <w:rPr>
          <w:rStyle w:val="VerbatimChar"/>
          <w:rFonts w:ascii="宋体" w:hAnsi="宋体" w:eastAsia="宋体"/>
          <w:sz w:val="21"/>
        </w:rPr>
        <w:t xml:space="preserve">atan2</w:t>
      </w:r>
      <w:r>
        <w:rPr>
          <w:rFonts w:ascii="宋体" w:hAnsi="宋体" w:eastAsia="宋体"/>
          <w:sz w:val="21"/>
        </w:rPr>
        <w:t xml:space="preserve"> </w:t>
      </w:r>
      <w:r>
        <w:rPr>
          <w:rFonts w:hint="eastAsia" w:ascii="宋体" w:hAnsi="宋体" w:eastAsia="宋体"/>
          <w:sz w:val="21"/>
        </w:rPr>
        <w:t xml:space="preserve">解角，得到低延迟角度反馈。</w:t>
      </w:r>
    </w:p>
    <w:p>
      <w:pPr>
        <w:numPr>
          <w:ilvl w:val="0"/>
          <w:numId w:val="1011"/>
        </w:numPr>
        <w:spacing w:line="283" w:lineRule="auto" w:after="80"/>
      </w:pPr>
      <w:r>
        <w:rPr>
          <w:rFonts w:hint="eastAsia" w:ascii="宋体" w:hAnsi="宋体" w:eastAsia="宋体"/>
          <w:sz w:val="21"/>
        </w:rPr>
        <w:t xml:space="preserve">方法一负责“个体标定”</w:t>
      </w:r>
      <w:r>
        <w:rPr>
          <w:rFonts w:ascii="宋体" w:hAnsi="宋体" w:eastAsia="宋体"/>
          <w:sz w:val="21"/>
        </w:rPr>
        <w:br/>
      </w:r>
      <w:r>
        <w:rPr>
          <w:rFonts w:hint="eastAsia" w:ascii="宋体" w:hAnsi="宋体" w:eastAsia="宋体"/>
          <w:sz w:val="21"/>
        </w:rPr>
        <w:t xml:space="preserve">对每台电机进行闭环自校准，形成补偿参数或查表数据，用来修正制造与装配差异。</w:t>
      </w:r>
    </w:p>
    <w:p>
      <w:pPr>
        <w:pStyle w:val="FirstParagraph"/>
      </w:pPr>
      <w:r>
        <w:rPr>
          <w:rFonts w:hint="eastAsia"/>
        </w:rPr>
        <w:t xml:space="preserve">因此，建议本项目采用如下总体链路：</w:t>
      </w:r>
    </w:p>
    <w:p>
      <w:pPr>
        <w:pStyle w:val="BodyText"/>
      </w:pPr>
      <w:r>
        <w:rPr>
          <w:rStyle w:val="VerbatimChar"/>
          <w:rFonts w:hint="eastAsia"/>
        </w:rPr>
        <w:t xml:space="preserve">线性</w:t>
      </w:r>
      <w:r>
        <w:rPr>
          <w:rStyle w:val="VerbatimChar"/>
        </w:rPr>
        <w:t xml:space="preserve"> Hall </w:t>
      </w:r>
      <w:r>
        <w:rPr>
          <w:rStyle w:val="VerbatimChar"/>
          <w:rFonts w:hint="eastAsia"/>
        </w:rPr>
        <w:t xml:space="preserve">原始电压</w:t>
      </w:r>
      <w:r>
        <w:rPr>
          <w:rStyle w:val="VerbatimChar"/>
        </w:rPr>
        <w:t xml:space="preserve"> -&gt; ADC </w:t>
      </w:r>
      <w:r>
        <w:rPr>
          <w:rStyle w:val="VerbatimChar"/>
          <w:rFonts w:hint="eastAsia"/>
        </w:rPr>
        <w:t xml:space="preserve">采样</w:t>
      </w:r>
      <w:r>
        <w:rPr>
          <w:rStyle w:val="VerbatimChar"/>
        </w:rPr>
        <w:t xml:space="preserve"> -&gt; </w:t>
      </w:r>
      <w:r>
        <w:rPr>
          <w:rStyle w:val="VerbatimChar"/>
          <w:rFonts w:hint="eastAsia"/>
        </w:rPr>
        <w:t xml:space="preserve">零偏与幅值归一化</w:t>
      </w:r>
      <w:r>
        <w:rPr>
          <w:rStyle w:val="VerbatimChar"/>
        </w:rPr>
        <w:t xml:space="preserve"> -&gt; </w:t>
      </w:r>
      <w:r>
        <w:rPr>
          <w:rStyle w:val="VerbatimChar"/>
          <w:rFonts w:hint="eastAsia"/>
        </w:rPr>
        <w:t xml:space="preserve">正余弦解算</w:t>
      </w:r>
      <w:r>
        <w:rPr>
          <w:rStyle w:val="VerbatimChar"/>
        </w:rPr>
        <w:t xml:space="preserve"> -&gt; </w:t>
      </w:r>
      <w:r>
        <w:rPr>
          <w:rStyle w:val="VerbatimChar"/>
          <w:rFonts w:hint="eastAsia"/>
        </w:rPr>
        <w:t xml:space="preserve">谐波模型补偿</w:t>
      </w:r>
      <w:r>
        <w:rPr>
          <w:rStyle w:val="VerbatimChar"/>
        </w:rPr>
        <w:t xml:space="preserve"> -&gt; </w:t>
      </w:r>
      <w:r>
        <w:rPr>
          <w:rStyle w:val="VerbatimChar"/>
          <w:rFonts w:hint="eastAsia"/>
        </w:rPr>
        <w:t xml:space="preserve">自校准误差表补偿</w:t>
      </w:r>
      <w:r>
        <w:rPr>
          <w:rStyle w:val="VerbatimChar"/>
        </w:rPr>
        <w:t xml:space="preserve"> -&gt; </w:t>
      </w:r>
      <w:r>
        <w:rPr>
          <w:rStyle w:val="VerbatimChar"/>
          <w:rFonts w:hint="eastAsia"/>
        </w:rPr>
        <w:t xml:space="preserve">ESO/滤波抑制残差</w:t>
      </w:r>
      <w:r>
        <w:rPr>
          <w:rStyle w:val="VerbatimChar"/>
        </w:rPr>
        <w:t xml:space="preserve"> -&gt; </w:t>
      </w:r>
      <w:r>
        <w:rPr>
          <w:rStyle w:val="VerbatimChar"/>
          <w:rFonts w:hint="eastAsia"/>
        </w:rPr>
        <w:t xml:space="preserve">输出高精度角度</w:t>
      </w:r>
      <w:r>
        <w:rPr>
          <w:rStyle w:val="VerbatimChar"/>
        </w:rPr>
        <w:t xml:space="preserve"> -&gt; </w:t>
      </w:r>
      <w:r>
        <w:rPr>
          <w:rStyle w:val="VerbatimChar"/>
          <w:rFonts w:hint="eastAsia"/>
        </w:rPr>
        <w:t xml:space="preserve">与</w:t>
      </w:r>
      <w:r>
        <w:rPr>
          <w:rStyle w:val="VerbatimChar"/>
        </w:rPr>
        <w:t xml:space="preserve"> IMU </w:t>
      </w:r>
      <w:r>
        <w:rPr>
          <w:rStyle w:val="VerbatimChar"/>
          <w:rFonts w:hint="eastAsia"/>
        </w:rPr>
        <w:t xml:space="preserve">互补融合</w:t>
      </w:r>
      <w:r>
        <w:rPr>
          <w:rStyle w:val="VerbatimChar"/>
        </w:rPr>
        <w:t xml:space="preserve"> -&gt; </w:t>
      </w:r>
      <w:r>
        <w:rPr>
          <w:rStyle w:val="VerbatimChar"/>
          <w:rFonts w:hint="eastAsia"/>
        </w:rPr>
        <w:t xml:space="preserve">位置/速度/电流闭环控制</w:t>
      </w:r>
    </w:p>
    <w:p>
      <w:pPr>
        <w:pStyle w:val="BodyText"/>
      </w:pPr>
      <w:r>
        <w:rPr>
          <w:rFonts w:hint="eastAsia"/>
        </w:rPr>
        <w:t xml:space="preserve">总体融合框图如下：</w:t>
      </w:r>
    </w:p>
    <w:p>
      <w:pPr>
        <w:pStyle w:val="CaptionedFigure"/>
      </w:pPr>
      <w:r>
        <w:drawing>
          <wp:inline>
            <wp:extent cx="5334000" cy="2376054"/>
            <wp:effectExtent b="0" l="0" r="0" t="0"/>
            <wp:docPr descr="图 4 线性 Hall 与 IMU 高精度检测总体融合框图" title="" id="40" name="Picture"/>
            <a:graphic>
              <a:graphicData uri="http://schemas.openxmlformats.org/drawingml/2006/picture">
                <pic:pic>
                  <pic:nvPicPr>
                    <pic:cNvPr descr="figures/linear_hall_overall_fusion.png" id="41" name="Picture"/>
                    <pic:cNvPicPr>
                      <a:picLocks noChangeArrowheads="1" noChangeAspect="1"/>
                    </pic:cNvPicPr>
                  </pic:nvPicPr>
                  <pic:blipFill>
                    <a:blip r:embed="rId39"/>
                    <a:stretch>
                      <a:fillRect/>
                    </a:stretch>
                  </pic:blipFill>
                  <pic:spPr bwMode="auto">
                    <a:xfrm>
                      <a:off x="0" y="0"/>
                      <a:ext cx="5334000" cy="2376054"/>
                    </a:xfrm>
                    <a:prstGeom prst="rect">
                      <a:avLst/>
                    </a:prstGeom>
                    <a:noFill/>
                    <a:ln w="9525">
                      <a:noFill/>
                      <a:headEnd/>
                      <a:tailEnd/>
                    </a:ln>
                  </pic:spPr>
                </pic:pic>
              </a:graphicData>
            </a:graphic>
          </wp:inline>
        </w:drawing>
      </w:r>
    </w:p>
    <w:p>
      <w:pPr>
        <w:pStyle w:val="ImageCaption"/>
        <w:jc w:val="center"/>
      </w:pPr>
      <w:r>
        <w:rPr>
          <w:rFonts w:hint="eastAsia" w:ascii="宋体" w:hAnsi="宋体" w:eastAsia="宋体"/>
          <w:color w:val="475569"/>
          <w:sz w:val="18"/>
        </w:rPr>
        <w:t xml:space="preserve">图</w:t>
      </w:r>
      <w:r>
        <w:rPr>
          <w:rFonts w:ascii="宋体" w:hAnsi="宋体" w:eastAsia="宋体"/>
          <w:color w:val="475569"/>
          <w:sz w:val="18"/>
        </w:rPr>
        <w:t xml:space="preserve"> 4 </w:t>
      </w:r>
      <w:r>
        <w:rPr>
          <w:rFonts w:hint="eastAsia" w:ascii="宋体" w:hAnsi="宋体" w:eastAsia="宋体"/>
          <w:color w:val="475569"/>
          <w:sz w:val="18"/>
        </w:rPr>
        <w:t xml:space="preserve">线性</w:t>
      </w:r>
      <w:r>
        <w:rPr>
          <w:rFonts w:ascii="宋体" w:hAnsi="宋体" w:eastAsia="宋体"/>
          <w:color w:val="475569"/>
          <w:sz w:val="18"/>
        </w:rPr>
        <w:t xml:space="preserve"> Hall </w:t>
      </w:r>
      <w:r>
        <w:rPr>
          <w:rFonts w:hint="eastAsia" w:ascii="宋体" w:hAnsi="宋体" w:eastAsia="宋体"/>
          <w:color w:val="475569"/>
          <w:sz w:val="18"/>
        </w:rPr>
        <w:t xml:space="preserve">与</w:t>
      </w:r>
      <w:r>
        <w:rPr>
          <w:rFonts w:ascii="宋体" w:hAnsi="宋体" w:eastAsia="宋体"/>
          <w:color w:val="475569"/>
          <w:sz w:val="18"/>
        </w:rPr>
        <w:t xml:space="preserve"> IMU </w:t>
      </w:r>
      <w:r>
        <w:rPr>
          <w:rFonts w:hint="eastAsia" w:ascii="宋体" w:hAnsi="宋体" w:eastAsia="宋体"/>
          <w:color w:val="475569"/>
          <w:sz w:val="18"/>
        </w:rPr>
        <w:t xml:space="preserve">高精度检测总体融合框图</w:t>
      </w:r>
    </w:p>
    <w:p>
      <w:pPr>
        <w:pStyle w:val="BodyText"/>
        <w:jc w:val="center"/>
      </w:pPr>
      <w:r>
        <w:rPr>
          <w:rFonts w:hint="eastAsia" w:ascii="宋体" w:hAnsi="宋体" w:eastAsia="宋体"/>
          <w:i/>
          <w:iCs/>
          <w:color w:val="475569"/>
          <w:sz w:val="18"/>
        </w:rPr>
        <w:t xml:space="preserve">图</w:t>
      </w:r>
      <w:r>
        <w:rPr>
          <w:rFonts w:ascii="宋体" w:hAnsi="宋体" w:eastAsia="宋体"/>
          <w:i/>
          <w:iCs/>
          <w:color w:val="475569"/>
          <w:sz w:val="18"/>
        </w:rPr>
        <w:t xml:space="preserve"> 4 </w:t>
      </w:r>
      <w:r>
        <w:rPr>
          <w:rFonts w:hint="eastAsia" w:ascii="宋体" w:hAnsi="宋体" w:eastAsia="宋体"/>
          <w:i/>
          <w:iCs/>
          <w:color w:val="475569"/>
          <w:sz w:val="18"/>
        </w:rPr>
        <w:t xml:space="preserve">线性</w:t>
      </w:r>
      <w:r>
        <w:rPr>
          <w:rFonts w:ascii="宋体" w:hAnsi="宋体" w:eastAsia="宋体"/>
          <w:i/>
          <w:iCs/>
          <w:color w:val="475569"/>
          <w:sz w:val="18"/>
        </w:rPr>
        <w:t xml:space="preserve"> Hall </w:t>
      </w:r>
      <w:r>
        <w:rPr>
          <w:rFonts w:hint="eastAsia" w:ascii="宋体" w:hAnsi="宋体" w:eastAsia="宋体"/>
          <w:i/>
          <w:iCs/>
          <w:color w:val="475569"/>
          <w:sz w:val="18"/>
        </w:rPr>
        <w:t xml:space="preserve">与</w:t>
      </w:r>
      <w:r>
        <w:rPr>
          <w:rFonts w:ascii="宋体" w:hAnsi="宋体" w:eastAsia="宋体"/>
          <w:i/>
          <w:iCs/>
          <w:color w:val="475569"/>
          <w:sz w:val="18"/>
        </w:rPr>
        <w:t xml:space="preserve"> IMU </w:t>
      </w:r>
      <w:r>
        <w:rPr>
          <w:rFonts w:hint="eastAsia" w:ascii="宋体" w:hAnsi="宋体" w:eastAsia="宋体"/>
          <w:i/>
          <w:iCs/>
          <w:color w:val="475569"/>
          <w:sz w:val="18"/>
        </w:rPr>
        <w:t xml:space="preserve">高精度检测总体融合框图</w:t>
      </w:r>
    </w:p>
    <w:p>
      <w:pPr>
        <w:pStyle w:val="BodyText"/>
      </w:pPr>
      <w:r>
        <w:rPr>
          <w:rFonts w:hint="eastAsia"/>
        </w:rPr>
        <w:t xml:space="preserve">对应工程公式可写为：</w:t>
      </w:r>
    </w:p>
    <w:p>
      <w:pPr>
        <w:pStyle w:val="BodyText"/>
      </w:pPr>
      <m:oMathPara>
        <m:oMathParaPr>
          <m:jc m:val="center"/>
        </m:oMathParaPr>
        <m:oMath>
          <m:sSub>
            <m:e>
              <m:acc>
                <m:accPr>
                  <m:chr m:val="̂"/>
                </m:accPr>
                <m:e>
                  <m:r>
                    <m:t>θ</m:t>
                  </m:r>
                </m:e>
              </m:acc>
            </m:e>
            <m:sub>
              <m:r>
                <m:rPr>
                  <m:sty m:val="p"/>
                </m:rPr>
                <m:t>H</m:t>
              </m:r>
              <m:r>
                <m:rPr>
                  <m:sty m:val="p"/>
                </m:rPr>
                <m:t>a</m:t>
              </m:r>
              <m:r>
                <m:rPr>
                  <m:sty m:val="p"/>
                </m:rPr>
                <m:t>l</m:t>
              </m:r>
              <m:r>
                <m:rPr>
                  <m:sty m:val="p"/>
                </m:rPr>
                <m:t>l</m:t>
              </m:r>
            </m:sub>
          </m:sSub>
          <m:r>
            <m:rPr>
              <m:sty m:val="p"/>
            </m:rPr>
            <m:t>=</m:t>
          </m:r>
          <m:sSub>
            <m:e>
              <m:r>
                <m:rPr>
                  <m:sty m:val="p"/>
                </m:rPr>
                <m:t>Comp</m:t>
              </m:r>
            </m:e>
            <m:sub>
              <m:r>
                <m:rPr>
                  <m:sty m:val="p"/>
                </m:rPr>
                <m:t>E</m:t>
              </m:r>
              <m:r>
                <m:rPr>
                  <m:sty m:val="p"/>
                </m:rPr>
                <m:t>S</m:t>
              </m:r>
              <m:r>
                <m:rPr>
                  <m:sty m:val="p"/>
                </m:rPr>
                <m:t>O</m:t>
              </m:r>
            </m:sub>
          </m:sSub>
          <m:d>
            <m:dPr>
              <m:begChr m:val="["/>
              <m:sepChr m:val=""/>
              <m:endChr m:val="]"/>
              <m:grow/>
            </m:dPr>
            <m:e>
              <m:sSub>
                <m:e>
                  <m:r>
                    <m:rPr>
                      <m:sty m:val="p"/>
                    </m:rPr>
                    <m:t>Comp</m:t>
                  </m:r>
                </m:e>
                <m:sub>
                  <m:r>
                    <m:rPr>
                      <m:sty m:val="p"/>
                    </m:rPr>
                    <m:t>h</m:t>
                  </m:r>
                  <m:r>
                    <m:rPr>
                      <m:sty m:val="p"/>
                    </m:rPr>
                    <m:t>a</m:t>
                  </m:r>
                  <m:r>
                    <m:rPr>
                      <m:sty m:val="p"/>
                    </m:rPr>
                    <m:t>r</m:t>
                  </m:r>
                  <m:r>
                    <m:rPr>
                      <m:sty m:val="p"/>
                    </m:rPr>
                    <m:t>m</m:t>
                  </m:r>
                </m:sub>
              </m:sSub>
              <m:d>
                <m:dPr>
                  <m:begChr m:val="("/>
                  <m:sepChr m:val=""/>
                  <m:endChr m:val=")"/>
                  <m:grow/>
                </m:dPr>
                <m:e>
                  <m:r>
                    <m:rPr>
                      <m:sty m:val="p"/>
                    </m:rPr>
                    <m:t>atan2</m:t>
                  </m:r>
                  <m:r>
                    <m:rPr>
                      <m:sty m:val="p"/>
                    </m:rPr>
                    <m:t>(</m:t>
                  </m:r>
                  <m:sSub>
                    <m:e>
                      <m:acc>
                        <m:accPr>
                          <m:chr m:val="̃"/>
                        </m:accPr>
                        <m:e>
                          <m:r>
                            <m:t>H</m:t>
                          </m:r>
                        </m:e>
                      </m:acc>
                    </m:e>
                    <m:sub>
                      <m:r>
                        <m:t>s</m:t>
                      </m:r>
                    </m:sub>
                  </m:sSub>
                  <m:r>
                    <m:rPr>
                      <m:sty m:val="p"/>
                    </m:rPr>
                    <m:t>,</m:t>
                  </m:r>
                  <m:sSub>
                    <m:e>
                      <m:acc>
                        <m:accPr>
                          <m:chr m:val="̃"/>
                        </m:accPr>
                        <m:e>
                          <m:r>
                            <m:t>H</m:t>
                          </m:r>
                        </m:e>
                      </m:acc>
                    </m:e>
                    <m:sub>
                      <m:r>
                        <m:t>c</m:t>
                      </m:r>
                    </m:sub>
                  </m:sSub>
                  <m:r>
                    <m:rPr>
                      <m:sty m:val="p"/>
                    </m:rPr>
                    <m:t>)</m:t>
                  </m:r>
                </m:e>
              </m:d>
            </m:e>
          </m:d>
        </m:oMath>
      </m:oMathPara>
    </w:p>
    <w:p>
      <w:pPr>
        <w:pStyle w:val="FirstParagraph"/>
      </w:pPr>
      <m:oMathPara>
        <m:oMathParaPr>
          <m:jc m:val="center"/>
        </m:oMathParaPr>
        <m:oMath>
          <m:sSub>
            <m:e>
              <m:acc>
                <m:accPr>
                  <m:chr m:val="̂"/>
                </m:accPr>
                <m:e>
                  <m:r>
                    <m:t>θ</m:t>
                  </m:r>
                </m:e>
              </m:acc>
            </m:e>
            <m:sub>
              <m:r>
                <m:rPr>
                  <m:sty m:val="p"/>
                </m:rPr>
                <m:t>a</m:t>
              </m:r>
              <m:r>
                <m:rPr>
                  <m:sty m:val="p"/>
                </m:rPr>
                <m:t>x</m:t>
              </m:r>
              <m:r>
                <m:rPr>
                  <m:sty m:val="p"/>
                </m:rPr>
                <m:t>i</m:t>
              </m:r>
              <m:r>
                <m:rPr>
                  <m:sty m:val="p"/>
                </m:rPr>
                <m:t>s</m:t>
              </m:r>
            </m:sub>
          </m:sSub>
          <m:r>
            <m:rPr>
              <m:sty m:val="p"/>
            </m:rPr>
            <m:t>=</m:t>
          </m:r>
          <m:sSub>
            <m:e>
              <m:acc>
                <m:accPr>
                  <m:chr m:val="̂"/>
                </m:accPr>
                <m:e>
                  <m:r>
                    <m:t>θ</m:t>
                  </m:r>
                </m:e>
              </m:acc>
            </m:e>
            <m:sub>
              <m:r>
                <m:rPr>
                  <m:sty m:val="p"/>
                </m:rPr>
                <m:t>H</m:t>
              </m:r>
              <m:r>
                <m:rPr>
                  <m:sty m:val="p"/>
                </m:rPr>
                <m:t>a</m:t>
              </m:r>
              <m:r>
                <m:rPr>
                  <m:sty m:val="p"/>
                </m:rPr>
                <m:t>l</m:t>
              </m:r>
              <m:r>
                <m:rPr>
                  <m:sty m:val="p"/>
                </m:rPr>
                <m:t>l</m:t>
              </m:r>
            </m:sub>
          </m:sSub>
          <m:r>
            <m:rPr>
              <m:sty m:val="p"/>
            </m:rPr>
            <m:t>−</m:t>
          </m:r>
          <m:sSub>
            <m:e>
              <m:acc>
                <m:accPr>
                  <m:chr m:val="̂"/>
                </m:accPr>
                <m:e>
                  <m:r>
                    <m:t>e</m:t>
                  </m:r>
                </m:e>
              </m:acc>
            </m:e>
            <m:sub>
              <m:r>
                <m:rPr>
                  <m:sty m:val="p"/>
                </m:rPr>
                <m:t>c</m:t>
              </m:r>
              <m:r>
                <m:rPr>
                  <m:sty m:val="p"/>
                </m:rPr>
                <m:t>a</m:t>
              </m:r>
              <m:r>
                <m:rPr>
                  <m:sty m:val="p"/>
                </m:rPr>
                <m:t>l</m:t>
              </m:r>
            </m:sub>
          </m:sSub>
          <m:r>
            <m:rPr>
              <m:sty m:val="p"/>
            </m:rPr>
            <m:t>(</m:t>
          </m:r>
          <m:sSub>
            <m:e>
              <m:acc>
                <m:accPr>
                  <m:chr m:val="̂"/>
                </m:accPr>
                <m:e>
                  <m:r>
                    <m:t>θ</m:t>
                  </m:r>
                </m:e>
              </m:acc>
            </m:e>
            <m:sub>
              <m:r>
                <m:rPr>
                  <m:sty m:val="p"/>
                </m:rPr>
                <m:t>H</m:t>
              </m:r>
              <m:r>
                <m:rPr>
                  <m:sty m:val="p"/>
                </m:rPr>
                <m:t>a</m:t>
              </m:r>
              <m:r>
                <m:rPr>
                  <m:sty m:val="p"/>
                </m:rPr>
                <m:t>l</m:t>
              </m:r>
              <m:r>
                <m:rPr>
                  <m:sty m:val="p"/>
                </m:rPr>
                <m:t>l</m:t>
              </m:r>
            </m:sub>
          </m:sSub>
          <m:r>
            <m:rPr>
              <m:sty m:val="p"/>
            </m:rPr>
            <m:t>)</m:t>
          </m:r>
        </m:oMath>
      </m:oMathPara>
    </w:p>
    <w:p>
      <w:pPr>
        <w:pStyle w:val="FirstParagraph"/>
      </w:pPr>
      <w:r>
        <w:rPr>
          <w:rFonts w:hint="eastAsia"/>
        </w:rPr>
        <w:t xml:space="preserve">其中</w:t>
      </w:r>
      <w:r>
        <w:t xml:space="preserve"> </w:t>
      </w:r>
      <w:r>
        <w:rPr>
          <w:rStyle w:val="VerbatimChar"/>
        </w:rPr>
        <w:t xml:space="preserve">Comp_harm</w:t>
      </w:r>
      <w:r>
        <w:t xml:space="preserve"> </w:t>
      </w:r>
      <w:r>
        <w:rPr>
          <w:rFonts w:hint="eastAsia"/>
        </w:rPr>
        <w:t xml:space="preserve">表示谐波补偿，</w:t>
      </w:r>
      <w:r>
        <w:rPr>
          <w:rStyle w:val="VerbatimChar"/>
        </w:rPr>
        <w:t xml:space="preserve">Comp_ESO</w:t>
      </w:r>
      <w:r>
        <w:t xml:space="preserve"> </w:t>
      </w:r>
      <w:r>
        <w:rPr>
          <w:rFonts w:hint="eastAsia"/>
        </w:rPr>
        <w:t xml:space="preserve">表示残差扰动估计，</w:t>
      </w:r>
      <w:r>
        <w:rPr>
          <w:rStyle w:val="VerbatimChar"/>
        </w:rPr>
        <w:t xml:space="preserve">e_cal</w:t>
      </w:r>
      <w:r>
        <w:t xml:space="preserve"> </w:t>
      </w:r>
      <w:r>
        <w:rPr>
          <w:rFonts w:hint="eastAsia"/>
        </w:rPr>
        <w:t xml:space="preserve">表示个体自校准误差表。</w:t>
      </w:r>
    </w:p>
    <w:bookmarkEnd w:id="42"/>
    <w:bookmarkStart w:id="47" w:name="面向手持相机云台的实现建议"/>
    <w:p>
      <w:pPr>
        <w:pStyle w:val="Heading2"/>
      </w:pPr>
      <w:r>
        <w:t xml:space="preserve">5. </w:t>
      </w:r>
      <w:r>
        <w:rPr>
          <w:rFonts w:hint="eastAsia"/>
        </w:rPr>
        <w:t xml:space="preserve">面向手持相机云台的实现建议</w:t>
      </w:r>
    </w:p>
    <w:bookmarkStart w:id="43" w:name="硬件层"/>
    <w:p>
      <w:pPr>
        <w:pStyle w:val="Heading3"/>
      </w:pPr>
      <w:r>
        <w:t xml:space="preserve">5.1 </w:t>
      </w:r>
      <w:r>
        <w:rPr>
          <w:rFonts w:hint="eastAsia"/>
        </w:rPr>
        <w:t xml:space="preserve">硬件层</w:t>
      </w:r>
    </w:p>
    <w:p>
      <w:pPr>
        <w:pStyle w:val="Compact"/>
        <w:numPr>
          <w:ilvl w:val="0"/>
          <w:numId w:val="1012"/>
        </w:numPr>
      </w:pPr>
      <w:r>
        <w:rPr>
          <w:rFonts w:hint="eastAsia"/>
        </w:rPr>
        <w:t xml:space="preserve">每个旋转轴固定采用两颗线性</w:t>
      </w:r>
      <w:r>
        <w:t xml:space="preserve"> Hall </w:t>
      </w:r>
      <w:r>
        <w:rPr>
          <w:rFonts w:hint="eastAsia"/>
        </w:rPr>
        <w:t xml:space="preserve">传感器，目标是形成正余弦关系。</w:t>
      </w:r>
    </w:p>
    <w:p>
      <w:pPr>
        <w:pStyle w:val="Compact"/>
        <w:numPr>
          <w:ilvl w:val="0"/>
          <w:numId w:val="1012"/>
        </w:numPr>
      </w:pPr>
      <w:r>
        <w:rPr>
          <w:rFonts w:hint="eastAsia"/>
        </w:rPr>
        <w:t xml:space="preserve">不配置第三路</w:t>
      </w:r>
      <w:r>
        <w:t xml:space="preserve"> Hall </w:t>
      </w:r>
      <w:r>
        <w:rPr>
          <w:rFonts w:hint="eastAsia"/>
        </w:rPr>
        <w:t xml:space="preserve">冗余通道；故障诊断主要依赖两路信号幅值、相位、一致性残差以及</w:t>
      </w:r>
      <w:r>
        <w:t xml:space="preserve"> </w:t>
      </w:r>
      <w:r>
        <w:rPr>
          <w:rFonts w:hint="eastAsia"/>
        </w:rPr>
        <w:t xml:space="preserve">IMU/电机模型交叉校验。</w:t>
      </w:r>
    </w:p>
    <w:p>
      <w:pPr>
        <w:pStyle w:val="Compact"/>
        <w:numPr>
          <w:ilvl w:val="0"/>
          <w:numId w:val="1012"/>
        </w:numPr>
      </w:pPr>
      <w:r>
        <w:t xml:space="preserve">Hall </w:t>
      </w:r>
      <w:r>
        <w:rPr>
          <w:rFonts w:hint="eastAsia"/>
        </w:rPr>
        <w:t xml:space="preserve">芯片尽量靠近磁钢有效磁场区域，但避免饱和。</w:t>
      </w:r>
    </w:p>
    <w:p>
      <w:pPr>
        <w:pStyle w:val="Compact"/>
        <w:numPr>
          <w:ilvl w:val="0"/>
          <w:numId w:val="1012"/>
        </w:numPr>
      </w:pPr>
      <w:r>
        <w:t xml:space="preserve">PCB </w:t>
      </w:r>
      <w:r>
        <w:rPr>
          <w:rFonts w:hint="eastAsia"/>
        </w:rPr>
        <w:t xml:space="preserve">和磁钢安装结构应保证气隙稳定，减少装配后偏心。</w:t>
      </w:r>
    </w:p>
    <w:p>
      <w:pPr>
        <w:pStyle w:val="Compact"/>
        <w:numPr>
          <w:ilvl w:val="0"/>
          <w:numId w:val="1012"/>
        </w:numPr>
      </w:pPr>
      <w:r>
        <w:rPr>
          <w:rFonts w:hint="eastAsia"/>
        </w:rPr>
        <w:t xml:space="preserve">对特制电机，应在磁钢充磁和</w:t>
      </w:r>
      <w:r>
        <w:t xml:space="preserve"> Hall </w:t>
      </w:r>
      <w:r>
        <w:rPr>
          <w:rFonts w:hint="eastAsia"/>
        </w:rPr>
        <w:t xml:space="preserve">安装位置设计阶段同步仿真磁场。</w:t>
      </w:r>
    </w:p>
    <w:bookmarkEnd w:id="43"/>
    <w:bookmarkStart w:id="44" w:name="标定层"/>
    <w:p>
      <w:pPr>
        <w:pStyle w:val="Heading3"/>
      </w:pPr>
      <w:r>
        <w:t xml:space="preserve">5.2 </w:t>
      </w:r>
      <w:r>
        <w:rPr>
          <w:rFonts w:hint="eastAsia"/>
        </w:rPr>
        <w:t xml:space="preserve">标定层</w:t>
      </w:r>
    </w:p>
    <w:p>
      <w:pPr>
        <w:pStyle w:val="Compact"/>
        <w:numPr>
          <w:ilvl w:val="0"/>
          <w:numId w:val="1013"/>
        </w:numPr>
      </w:pPr>
      <w:r>
        <w:rPr>
          <w:rFonts w:hint="eastAsia"/>
        </w:rPr>
        <w:t xml:space="preserve">出厂或实验阶段，让电机低速扫过完整角度范围。</w:t>
      </w:r>
    </w:p>
    <w:p>
      <w:pPr>
        <w:pStyle w:val="Compact"/>
        <w:numPr>
          <w:ilvl w:val="0"/>
          <w:numId w:val="1013"/>
        </w:numPr>
      </w:pPr>
      <w:r>
        <w:rPr>
          <w:rFonts w:hint="eastAsia"/>
        </w:rPr>
        <w:t xml:space="preserve">记录</w:t>
      </w:r>
      <w:r>
        <w:t xml:space="preserve"> Hall </w:t>
      </w:r>
      <w:r>
        <w:rPr>
          <w:rFonts w:hint="eastAsia"/>
        </w:rPr>
        <w:t xml:space="preserve">原始值、解算角度、IMU</w:t>
      </w:r>
      <w:r>
        <w:t xml:space="preserve"> </w:t>
      </w:r>
      <w:r>
        <w:rPr>
          <w:rFonts w:hint="eastAsia"/>
        </w:rPr>
        <w:t xml:space="preserve">或外部参考角度。</w:t>
      </w:r>
    </w:p>
    <w:p>
      <w:pPr>
        <w:pStyle w:val="Compact"/>
        <w:numPr>
          <w:ilvl w:val="0"/>
          <w:numId w:val="1013"/>
        </w:numPr>
      </w:pPr>
      <w:r>
        <w:rPr>
          <w:rFonts w:hint="eastAsia"/>
        </w:rPr>
        <w:t xml:space="preserve">建立零偏、幅值、相位、谐波和周期误差补偿参数。</w:t>
      </w:r>
    </w:p>
    <w:p>
      <w:pPr>
        <w:pStyle w:val="Compact"/>
        <w:numPr>
          <w:ilvl w:val="0"/>
          <w:numId w:val="1013"/>
        </w:numPr>
      </w:pPr>
      <w:r>
        <w:rPr>
          <w:rFonts w:hint="eastAsia"/>
        </w:rPr>
        <w:t xml:space="preserve">对每台电机保存独立标定参数，避免把单台样机参数直接用于所有样机。</w:t>
      </w:r>
    </w:p>
    <w:bookmarkEnd w:id="44"/>
    <w:bookmarkStart w:id="45" w:name="实时算法层"/>
    <w:p>
      <w:pPr>
        <w:pStyle w:val="Heading3"/>
      </w:pPr>
      <w:r>
        <w:t xml:space="preserve">5.3 </w:t>
      </w:r>
      <w:r>
        <w:rPr>
          <w:rFonts w:hint="eastAsia"/>
        </w:rPr>
        <w:t xml:space="preserve">实时算法层</w:t>
      </w:r>
    </w:p>
    <w:p>
      <w:pPr>
        <w:pStyle w:val="Compact"/>
        <w:numPr>
          <w:ilvl w:val="0"/>
          <w:numId w:val="1014"/>
        </w:numPr>
      </w:pPr>
      <w:r>
        <w:rPr>
          <w:rFonts w:hint="eastAsia"/>
        </w:rPr>
        <w:t xml:space="preserve">快速路径：零偏校正、幅值归一化、</w:t>
      </w:r>
      <w:r>
        <w:rPr>
          <w:rStyle w:val="VerbatimChar"/>
        </w:rPr>
        <w:t xml:space="preserve">atan2</w:t>
      </w:r>
      <w:r>
        <w:t xml:space="preserve"> </w:t>
      </w:r>
      <w:r>
        <w:rPr>
          <w:rFonts w:hint="eastAsia"/>
        </w:rPr>
        <w:t xml:space="preserve">解角。</w:t>
      </w:r>
    </w:p>
    <w:p>
      <w:pPr>
        <w:pStyle w:val="Compact"/>
        <w:numPr>
          <w:ilvl w:val="0"/>
          <w:numId w:val="1014"/>
        </w:numPr>
      </w:pPr>
      <w:r>
        <w:rPr>
          <w:rFonts w:hint="eastAsia"/>
        </w:rPr>
        <w:t xml:space="preserve">精度路径：谐波补偿、查表补偿、ESO</w:t>
      </w:r>
      <w:r>
        <w:t xml:space="preserve"> </w:t>
      </w:r>
      <w:r>
        <w:rPr>
          <w:rFonts w:hint="eastAsia"/>
        </w:rPr>
        <w:t xml:space="preserve">或低延迟滤波。</w:t>
      </w:r>
    </w:p>
    <w:p>
      <w:pPr>
        <w:pStyle w:val="Compact"/>
        <w:numPr>
          <w:ilvl w:val="0"/>
          <w:numId w:val="1014"/>
        </w:numPr>
      </w:pPr>
      <w:r>
        <w:rPr>
          <w:rFonts w:hint="eastAsia"/>
        </w:rPr>
        <w:t xml:space="preserve">融合路径：Hall</w:t>
      </w:r>
      <w:r>
        <w:t xml:space="preserve"> </w:t>
      </w:r>
      <w:r>
        <w:rPr>
          <w:rFonts w:hint="eastAsia"/>
        </w:rPr>
        <w:t xml:space="preserve">角度用于低漂移位置反馈，陀螺仪用于高带宽角速度反馈，两者通过互补滤波或扩展卡尔曼滤波融合。</w:t>
      </w:r>
    </w:p>
    <w:bookmarkEnd w:id="45"/>
    <w:bookmarkStart w:id="46" w:name="控制层"/>
    <w:p>
      <w:pPr>
        <w:pStyle w:val="Heading3"/>
      </w:pPr>
      <w:r>
        <w:t xml:space="preserve">5.4 </w:t>
      </w:r>
      <w:r>
        <w:rPr>
          <w:rFonts w:hint="eastAsia"/>
        </w:rPr>
        <w:t xml:space="preserve">控制层</w:t>
      </w:r>
    </w:p>
    <w:p>
      <w:pPr>
        <w:pStyle w:val="Compact"/>
        <w:numPr>
          <w:ilvl w:val="0"/>
          <w:numId w:val="1015"/>
        </w:numPr>
      </w:pPr>
      <w:r>
        <w:rPr>
          <w:rFonts w:hint="eastAsia"/>
        </w:rPr>
        <w:t xml:space="preserve">内环仍采用电流环，保证力矩响应。</w:t>
      </w:r>
    </w:p>
    <w:p>
      <w:pPr>
        <w:pStyle w:val="Compact"/>
        <w:numPr>
          <w:ilvl w:val="0"/>
          <w:numId w:val="1015"/>
        </w:numPr>
      </w:pPr>
      <w:r>
        <w:rPr>
          <w:rFonts w:hint="eastAsia"/>
        </w:rPr>
        <w:t xml:space="preserve">中间层采用速度环，抑制负载扰动和手持抖动。</w:t>
      </w:r>
    </w:p>
    <w:p>
      <w:pPr>
        <w:pStyle w:val="Compact"/>
        <w:numPr>
          <w:ilvl w:val="0"/>
          <w:numId w:val="1015"/>
        </w:numPr>
      </w:pPr>
      <w:r>
        <w:rPr>
          <w:rFonts w:hint="eastAsia"/>
        </w:rPr>
        <w:t xml:space="preserve">外层采用位置环或姿态环，实现目标角度保持和大角度运动控制。</w:t>
      </w:r>
    </w:p>
    <w:p>
      <w:pPr>
        <w:pStyle w:val="Compact"/>
        <w:numPr>
          <w:ilvl w:val="0"/>
          <w:numId w:val="1015"/>
        </w:numPr>
      </w:pPr>
      <w:r>
        <w:t xml:space="preserve">Hall </w:t>
      </w:r>
      <w:r>
        <w:rPr>
          <w:rFonts w:hint="eastAsia"/>
        </w:rPr>
        <w:t xml:space="preserve">角度主要服务于位置环和速度估计，IMU</w:t>
      </w:r>
      <w:r>
        <w:t xml:space="preserve"> </w:t>
      </w:r>
      <w:r>
        <w:rPr>
          <w:rFonts w:hint="eastAsia"/>
        </w:rPr>
        <w:t xml:space="preserve">主要服务于姿态稳定和抗手抖。</w:t>
      </w:r>
    </w:p>
    <w:bookmarkEnd w:id="46"/>
    <w:bookmarkEnd w:id="47"/>
    <w:bookmarkStart w:id="48" w:name="可行性结论"/>
    <w:p>
      <w:pPr>
        <w:pStyle w:val="Heading2"/>
      </w:pPr>
      <w:r>
        <w:t xml:space="preserve">6. </w:t>
      </w:r>
      <w:r>
        <w:rPr>
          <w:rFonts w:hint="eastAsia"/>
        </w:rPr>
        <w:t xml:space="preserve">可行性结论</w:t>
      </w:r>
    </w:p>
    <w:p>
      <w:pPr>
        <w:pStyle w:val="FirstParagraph"/>
      </w:pPr>
      <w:r>
        <w:rPr>
          <w:rFonts w:hint="eastAsia"/>
        </w:rPr>
        <w:t xml:space="preserve">结合三篇文章可以得到结论：线性</w:t>
      </w:r>
      <w:r>
        <w:t xml:space="preserve"> Hall </w:t>
      </w:r>
      <w:r>
        <w:rPr>
          <w:rFonts w:hint="eastAsia"/>
        </w:rPr>
        <w:t xml:space="preserve">传感器具备应用于手持相机云台高精度位置检测的可行性，但不能只依赖原始</w:t>
      </w:r>
      <w:r>
        <w:t xml:space="preserve"> Hall </w:t>
      </w:r>
      <w:r>
        <w:rPr>
          <w:rFonts w:hint="eastAsia"/>
        </w:rPr>
        <w:t xml:space="preserve">信号直接解角。可靠方案应同时包含结构设计、信号处理、误差标定和传感融合四个层次。</w:t>
      </w:r>
    </w:p>
    <w:p>
      <w:pPr>
        <w:pStyle w:val="BodyText"/>
      </w:pPr>
      <w:r>
        <w:rPr>
          <w:rFonts w:hint="eastAsia"/>
        </w:rPr>
        <w:t xml:space="preserve">对本项目最推荐的技术路线是：</w:t>
      </w:r>
    </w:p>
    <w:p>
      <w:pPr>
        <w:pStyle w:val="Compact"/>
        <w:numPr>
          <w:ilvl w:val="0"/>
          <w:numId w:val="1016"/>
        </w:numPr>
      </w:pPr>
      <w:r>
        <w:rPr>
          <w:rFonts w:hint="eastAsia"/>
        </w:rPr>
        <w:t xml:space="preserve">结构上，采用磁钢与</w:t>
      </w:r>
      <w:r>
        <w:t xml:space="preserve"> Hall </w:t>
      </w:r>
      <w:r>
        <w:rPr>
          <w:rFonts w:hint="eastAsia"/>
        </w:rPr>
        <w:t xml:space="preserve">传感器一体化设计，保证原始信号质量；</w:t>
      </w:r>
    </w:p>
    <w:p>
      <w:pPr>
        <w:pStyle w:val="Compact"/>
        <w:numPr>
          <w:ilvl w:val="0"/>
          <w:numId w:val="1016"/>
        </w:numPr>
      </w:pPr>
      <w:r>
        <w:rPr>
          <w:rFonts w:hint="eastAsia"/>
        </w:rPr>
        <w:t xml:space="preserve">算法上，采用归一化、谐波补偿和</w:t>
      </w:r>
      <w:r>
        <w:t xml:space="preserve"> ESO </w:t>
      </w:r>
      <w:r>
        <w:rPr>
          <w:rFonts w:hint="eastAsia"/>
        </w:rPr>
        <w:t xml:space="preserve">抑制实时误差；</w:t>
      </w:r>
    </w:p>
    <w:p>
      <w:pPr>
        <w:pStyle w:val="Compact"/>
        <w:numPr>
          <w:ilvl w:val="0"/>
          <w:numId w:val="1016"/>
        </w:numPr>
      </w:pPr>
      <w:r>
        <w:rPr>
          <w:rFonts w:hint="eastAsia"/>
        </w:rPr>
        <w:t xml:space="preserve">标定上，采用闭环自校准或查表补偿修正个体差异；</w:t>
      </w:r>
    </w:p>
    <w:p>
      <w:pPr>
        <w:pStyle w:val="Compact"/>
        <w:numPr>
          <w:ilvl w:val="0"/>
          <w:numId w:val="1016"/>
        </w:numPr>
      </w:pPr>
      <w:r>
        <w:rPr>
          <w:rFonts w:hint="eastAsia"/>
        </w:rPr>
        <w:t xml:space="preserve">控制上，将</w:t>
      </w:r>
      <w:r>
        <w:t xml:space="preserve"> Hall </w:t>
      </w:r>
      <w:r>
        <w:rPr>
          <w:rFonts w:hint="eastAsia"/>
        </w:rPr>
        <w:t xml:space="preserve">与</w:t>
      </w:r>
      <w:r>
        <w:t xml:space="preserve"> IMU </w:t>
      </w:r>
      <w:r>
        <w:rPr>
          <w:rFonts w:hint="eastAsia"/>
        </w:rPr>
        <w:t xml:space="preserve">融合，为多轴云台提供低漂移、高带宽的位置与姿态反馈。</w:t>
      </w:r>
    </w:p>
    <w:p>
      <w:pPr>
        <w:pStyle w:val="FirstParagraph"/>
      </w:pPr>
      <w:r>
        <w:rPr>
          <w:rFonts w:hint="eastAsia"/>
        </w:rPr>
        <w:t xml:space="preserve">该路线兼顾成本、体积、可制造性和控制精度，适合作为后续特制微型无刷电机及多自由度级联云台控制方案的传感器检测基础。</w:t>
      </w:r>
    </w:p>
    <w:bookmarkEnd w:id="48"/>
    <w:bookmarkStart w:id="49" w:name="参考资料"/>
    <w:p>
      <w:pPr>
        <w:pStyle w:val="Heading2"/>
      </w:pPr>
      <w:r>
        <w:rPr>
          <w:rFonts w:hint="eastAsia"/>
        </w:rPr>
        <w:t xml:space="preserve">参考资料</w:t>
      </w:r>
    </w:p>
    <w:p>
      <w:pPr>
        <w:pStyle w:val="Compact"/>
        <w:numPr>
          <w:ilvl w:val="0"/>
          <w:numId w:val="1017"/>
        </w:numPr>
      </w:pPr>
      <w:r>
        <w:t xml:space="preserve">Max van Meer et al., Self-Calibrating Position Measurements: Applied to Imperfect Hall Sensors, IFAC-PapersOnLine, 2025.</w:t>
      </w:r>
    </w:p>
    <w:p>
      <w:pPr>
        <w:pStyle w:val="Compact"/>
        <w:numPr>
          <w:ilvl w:val="0"/>
          <w:numId w:val="1017"/>
        </w:numPr>
      </w:pPr>
      <w:r>
        <w:t xml:space="preserve">Yangyang Shi, Haitao Li, Bangcheng Han, Position Extraction of Ultralow-Speed Gimbal Servo System With Linear Hall Sensors, IEEE Transactions on Industrial Electronics, 2021/2022.</w:t>
      </w:r>
    </w:p>
    <w:p>
      <w:pPr>
        <w:pStyle w:val="Compact"/>
        <w:numPr>
          <w:ilvl w:val="0"/>
          <w:numId w:val="1017"/>
        </w:numPr>
      </w:pPr>
      <w:r>
        <w:t xml:space="preserve">Yuan Wei, Vu Huy Nguyen, Won-Jong Kim, A 3-D Printed Halbach-Cylinder Motor With Self-Position Sensing for Precision Motions, IEEE/ASME Transactions on Mechatronics, 2022.</w:t>
      </w:r>
    </w:p>
    <w:bookmarkEnd w:id="49"/>
    <w:bookmarkEnd w:id="50"/>
    <w:sectPr>
      <w:footnotePr>
        <w:numRestart w:val="eachSect"/>
      </w:footnotePr>
      <w:pgMar w:top="1134" w:bottom="1134"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黑体" w:hAnsi="黑体" w:eastAsia="黑体"/>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黑体" w:hAnsi="黑体" w:eastAsia="黑体"/>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黑体" w:hAnsi="黑体" w:eastAsia="黑体"/>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黑体" w:hAnsi="黑体" w:eastAsia="黑体"/>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22" Type="http://schemas.openxmlformats.org/officeDocument/2006/relationships/image" Target="media/rId22.png"/><Relationship Id="rId32" Type="http://schemas.openxmlformats.org/officeDocument/2006/relationships/image" Target="media/rId32.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2026-05-19T13:24:38Z</dcterms:created>
  <dcterms:modified xsi:type="dcterms:W3CDTF">2026-05-19T13:24:38Z</dcterms:modified>
</cp:coreProperties>
</file>

<file path=docProps/custom.xml><?xml version="1.0" encoding="utf-8"?>
<Properties xmlns="http://schemas.openxmlformats.org/officeDocument/2006/custom-properties" xmlns:vt="http://schemas.openxmlformats.org/officeDocument/2006/docPropsVTypes"/>
</file>