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36"/>
        </w:rPr>
        <w:t>RELATÓRIO E FORMULÁRIO DE AVALIAÇÃO DE IMPACTO ALGORÍTMICO (AIA / AIIA)</w:t>
      </w:r>
    </w:p>
    <w:p>
      <w:pPr>
        <w:spacing w:after="360"/>
        <w:jc w:val="center"/>
      </w:pPr>
      <w:r>
        <w:rPr>
          <w:i/>
          <w:color w:val="5A5A5A"/>
          <w:sz w:val="22"/>
        </w:rPr>
        <w:t>Instrumento de Gestão de Riscos, Mitigação de Vieses e Conformidade com o PL 2338/2023, LGPD e ISO/IEC 42001</w:t>
      </w:r>
    </w:p>
    <w:p>
      <w:pPr>
        <w:keepNext/>
        <w:spacing w:before="280" w:after="120"/>
      </w:pPr>
      <w:r>
        <w:rPr>
          <w:b/>
          <w:color w:val="1B365D"/>
          <w:sz w:val="28"/>
        </w:rPr>
        <w:t>1. Identificação Geral do Projeto e da Solução de 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Nome do Projeto / Sistema: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Ex.: Sistema de Triagem Automatizada de Currículos (IA-Recruta)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Área Demandante e Responsável: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Diretoria de Recursos Humanos | Contato: rh-inovacao@empresa.com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Líder Técnico / Cientista de Dados: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Engenharia de Dados e IA | Contato: tech-ai@empresa.com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Provedor da Solução: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[  ] Desenvolvimento Interno (Proprietário)   [ X ] Terceiro / Vendor Externo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Tipo de Arquitetura de IA: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[  ] IA Preditiva (Machine Learning)        [ X ] IA Generativa / LLM (Prompt/RAG)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Status no Ciclo de Vida: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[ X ] Concepção / Avaliação Prévia           [  ] Homologação / Piloto  [  ] Em Produção</w:t>
            </w:r>
          </w:p>
        </w:tc>
      </w:tr>
    </w:tbl>
    <w:p>
      <w:pPr>
        <w:keepNext/>
        <w:spacing w:before="280" w:after="120"/>
      </w:pPr>
      <w:r>
        <w:rPr>
          <w:b/>
          <w:color w:val="1B365D"/>
          <w:sz w:val="28"/>
        </w:rPr>
        <w:t>2. Descrição Funcional e Finalidade Pretendida</w:t>
      </w:r>
    </w:p>
    <w:p>
      <w:r>
        <w:rPr>
          <w:b/>
        </w:rPr>
        <w:t xml:space="preserve">2.1. Objetivo do Sistema e Problema de Negócio: </w:t>
      </w:r>
      <w:r>
        <w:t>Descreva detalhadamente a finalidade pretendida da solução de IA, os ganhos operacionais esperados e o nível de automação envolvido na tomada de decisão (ex.: auxílio à decisão humana vs. decisão 100% automatizada).</w:t>
      </w:r>
    </w:p>
    <w:p>
      <w:r>
        <w:rPr>
          <w:b/>
        </w:rPr>
        <w:t xml:space="preserve">2.2. Públicos Afetados: </w:t>
      </w:r>
      <w:r>
        <w:t>Identifique os grupos diretamente impactados pelos resultados do algoritmo (ex.: colaboradores, candidatos a vagas, clientes finais, grupos minoritários ou vulneráveis).</w:t>
      </w:r>
    </w:p>
    <w:p>
      <w:pPr>
        <w:keepNext/>
        <w:spacing w:before="280" w:after="120"/>
      </w:pPr>
      <w:r>
        <w:rPr>
          <w:b/>
          <w:color w:val="1B365D"/>
          <w:sz w:val="28"/>
        </w:rPr>
        <w:t>3. Mapeamento de Dados, Privacidade e LGPD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Fontes de Dados de Treinamento / Input: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Bases históricas corporativas, dados públicos, prompts de usuários, documentos anexados.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Uso de Dados Pessoais (Art. 5º, LGPD):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[ X ] Sim, envolve dados pessoais (Ex.: Nome, E-mail, Histórico Profissional, CPF).</w:t>
              <w:br/>
              <w:t>[  ] Não envolve dados pessoais.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Uso de Dados Pessoais Sensíveis: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[ X ] Sim (Ex.: dados de saúde, biometria, origem racial/étnica em ações afirmativas).</w:t>
              <w:br/>
              <w:t>[  ] Não.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Hipótese Legal / Base de Tratamento: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[  ] Consentimento  [ X ] Legítimo Interesse  [  ] Execução de Contrato  [  ] Cumprimento Obrig. Legal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Salvaguardas de Privacidade Implementadas: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Pseudonimização de dados pessoais antes do envio à API externa; vedação do uso dos inputs para re-treinamento público pelo fornecedor; vinculação ao Relatório de Impacto à Proteção de Dados (RIPD/DPIA).</w:t>
            </w:r>
          </w:p>
        </w:tc>
      </w:tr>
    </w:tbl>
    <w:p>
      <w:pPr>
        <w:keepNext/>
        <w:spacing w:before="280" w:after="120"/>
      </w:pPr>
      <w:r>
        <w:rPr>
          <w:b/>
          <w:color w:val="1B365D"/>
          <w:sz w:val="28"/>
        </w:rPr>
        <w:t>4. Avaliação de Riscos, Vieses Algorítmicos e Segurança</w:t>
      </w:r>
    </w:p>
    <w:p>
      <w:pPr>
        <w:keepNext/>
        <w:spacing w:before="200" w:after="80"/>
      </w:pPr>
      <w:r>
        <w:rPr>
          <w:b/>
          <w:color w:val="2D557D"/>
          <w:sz w:val="24"/>
        </w:rPr>
        <w:t>4.1. Enquadramento de Risco (Marco Regulatório / PL 2338/2023)</w:t>
      </w:r>
    </w:p>
    <w:p>
      <w:r>
        <w:t>Marque a classificação de risco da aplicação segundo os critérios de impacto em direitos fundamentais: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B 36 5D"/>
          </w:tcPr>
          <w:p>
            <w:pPr>
              <w:spacing w:after="40"/>
            </w:pPr>
            <w:r>
              <w:rPr>
                <w:b/>
                <w:color w:val="FFFFFF"/>
              </w:rPr>
              <w:t>Nível de Risco</w:t>
            </w:r>
          </w:p>
        </w:tc>
        <w:tc>
          <w:tcPr>
            <w:tcW w:type="dxa" w:w="5040"/>
            <w:shd w:val="clear" w:color="auto" w:fill="1B 36 5D"/>
          </w:tcPr>
          <w:p>
            <w:pPr>
              <w:spacing w:after="40"/>
            </w:pPr>
            <w:r>
              <w:rPr>
                <w:b/>
                <w:color w:val="FFFFFF"/>
              </w:rPr>
              <w:t>Critérios e Exemplos de Aplicação</w:t>
            </w:r>
          </w:p>
        </w:tc>
        <w:tc>
          <w:tcPr>
            <w:tcW w:type="dxa" w:w="2160"/>
            <w:shd w:val="clear" w:color="auto" w:fill="1B 36 5D"/>
          </w:tcPr>
          <w:p>
            <w:pPr>
              <w:spacing w:after="40"/>
            </w:pPr>
            <w:r>
              <w:rPr>
                <w:b/>
                <w:color w:val="FFFFFF"/>
              </w:rPr>
              <w:t>Seleção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Risco Mínimo / Baixo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Ferramentas de suporte interno sem impacto em direitos (ex.: suporte a texto, automação de tarefas administrativas simples).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[   ]</w:t>
            </w:r>
          </w:p>
        </w:tc>
      </w:tr>
      <w:tr>
        <w:tc>
          <w:tcPr>
            <w:tcW w:type="dxa" w:w="2160"/>
            <w:shd w:val="clear" w:color="auto" w:fill="F9 FA 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Risco Médio / Limitado</w:t>
            </w:r>
          </w:p>
        </w:tc>
        <w:tc>
          <w:tcPr>
            <w:tcW w:type="dxa" w:w="5040"/>
            <w:shd w:val="clear" w:color="auto" w:fill="F9 FA 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Sistemas interativos que exigem transparência explícita ao usuário (ex.: chatbots de atendimento ao cliente).</w:t>
            </w:r>
          </w:p>
        </w:tc>
        <w:tc>
          <w:tcPr>
            <w:tcW w:type="dxa" w:w="2160"/>
            <w:shd w:val="clear" w:color="auto" w:fill="F9 FA 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[   ]</w:t>
            </w:r>
          </w:p>
        </w:tc>
      </w:tr>
      <w:tr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Alto Risco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sz w:val="19"/>
              </w:rPr>
              <w:t>Sistemas de decisão ou triagem em recrutamento, crédito, saúde, avaliação de desempenho, perfilamento ou acesso a serviços essenciais.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/>
            </w:pPr>
            <w:r>
              <w:rPr>
                <w:b/>
                <w:color w:val="B42828"/>
                <w:sz w:val="19"/>
              </w:rPr>
              <w:t>[ X ] ALTO RISCO</w:t>
            </w:r>
          </w:p>
        </w:tc>
      </w:tr>
    </w:tbl>
    <w:p>
      <w:pPr>
        <w:keepNext/>
        <w:spacing w:before="200" w:after="80"/>
      </w:pPr>
      <w:r>
        <w:rPr>
          <w:b/>
          <w:color w:val="2D557D"/>
          <w:sz w:val="24"/>
        </w:rPr>
        <w:t>4.2. Análise Detalhada de Fatores de Risco Espíficos</w:t>
      </w:r>
    </w:p>
    <w:p>
      <w:r>
        <w:rPr>
          <w:b/>
        </w:rPr>
        <w:t xml:space="preserve">• Viés Algorítmico e Discriminação: </w:t>
      </w:r>
      <w:r>
        <w:t>Avaliação sobre desequilíbrios históricos nas bases de dados que possam penalizar grupos por gênero, raça, idade ou região. Medidas de auditoria da base e mitigação implementadas.</w:t>
      </w:r>
    </w:p>
    <w:p>
      <w:r>
        <w:rPr>
          <w:b/>
        </w:rPr>
        <w:t xml:space="preserve">• Alucinação e Confiabilidade (IA Generativa): </w:t>
      </w:r>
      <w:r>
        <w:t>Probabilidade de geração de saídas falsas, inverídicas ou sem sustentação factual. Mecanismos de trava e checagem factual.</w:t>
      </w:r>
    </w:p>
    <w:p>
      <w:r>
        <w:rPr>
          <w:b/>
        </w:rPr>
        <w:t xml:space="preserve">• Cibersegurança e Vazamento de Dados: </w:t>
      </w:r>
      <w:r>
        <w:t>Risco de engenharia social, injeção de prompt (*prompt injection*), acesso não autorizado ou vazamento de segredos industriais/comerciais.</w:t>
      </w:r>
    </w:p>
    <w:p>
      <w:pPr>
        <w:keepNext/>
        <w:spacing w:before="280" w:after="120"/>
      </w:pPr>
      <w:r>
        <w:rPr>
          <w:b/>
          <w:color w:val="1B365D"/>
          <w:sz w:val="28"/>
        </w:rPr>
        <w:t>5. Salvaguardas, Explicabilidade e Supervisão Humana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Supervisão Humana (Human-in-the-Loop):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Procedimento obrigatório para revisão humana de saídas e decisões automatizadas antes de produzir efeitos jurídicos ou de alto impacto aos indivíduos.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Transparência ao Usuário Final: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Aviso explícito de que o usuário está interagindo ou sendo avaliado por um sistema de IA (Transparência de Uso).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Explicabilidade e Contestabilidade: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Rastreabilidade dos parâmetros considerados pelo modelo e disponibilização de canal formal para o usuário contestar decisões automatizadas (Art. 20 da LGPD e Diretrizes do Comitê).</w:t>
            </w:r>
          </w:p>
        </w:tc>
      </w:tr>
      <w:tr>
        <w:tc>
          <w:tcPr>
            <w:tcW w:type="dxa" w:w="3312"/>
            <w:shd w:val="clear" w:color="auto" w:fill="F0 F4 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Due Diligence e Gestão de Terceiros:</w:t>
            </w:r>
          </w:p>
        </w:tc>
        <w:tc>
          <w:tcPr>
            <w:tcW w:type="dxa" w:w="604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sz w:val="19"/>
              </w:rPr>
              <w:t>Verificação de conformidade ética, segurança da informação e auditoria algorítmica do fornecedor externo de software/modelo.</w:t>
            </w:r>
          </w:p>
        </w:tc>
      </w:tr>
    </w:tbl>
    <w:p>
      <w:pPr>
        <w:keepNext/>
        <w:spacing w:before="280" w:after="120"/>
      </w:pPr>
      <w:r>
        <w:rPr>
          <w:b/>
          <w:color w:val="1B365D"/>
          <w:sz w:val="28"/>
        </w:rPr>
        <w:t>6. Parecer Conclusivo do Comitê de Ética e Governança em IA</w:t>
      </w:r>
    </w:p>
    <w:p>
      <w:pPr>
        <w:spacing w:before="12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 F4 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80"/>
            </w:pPr>
            <w:r>
              <w:rPr>
                <w:b/>
                <w:color w:val="1B365D"/>
                <w:sz w:val="22"/>
              </w:rPr>
              <w:t>DELIBERAÇÃO DO COMITÊ MULTIDISCIPLINAR (CMEG-IA):</w:t>
              <w:br/>
            </w:r>
            <w:r>
              <w:rPr>
                <w:sz w:val="20"/>
              </w:rPr>
              <w:t>[   ] APROVADO SEM RESSALVAS — A solução atende integralmente aos parâmetros éticos e normativos.</w:t>
              <w:br/>
            </w:r>
            <w:r>
              <w:rPr>
                <w:b/>
                <w:sz w:val="20"/>
              </w:rPr>
              <w:t>[ X ] APROVADO COM CONDICIONANTES / RESSALVAS — Liberado sob cumprimento das exigências abaixo.</w:t>
              <w:br/>
            </w:r>
            <w:r>
              <w:rPr>
                <w:sz w:val="20"/>
              </w:rPr>
              <w:t>[   ] REPROVADO — Risco inaceitável aos direitos fundamentais ou inconformidade regulatória severa.</w:t>
              <w:br/>
              <w:br/>
            </w:r>
            <w:r>
              <w:rPr>
                <w:b/>
                <w:sz w:val="20"/>
              </w:rPr>
              <w:t>CONDICIONANTES OBRIGATÓRIAS PARA OPERAÇÃO:</w:t>
              <w:br/>
            </w:r>
            <w:r>
              <w:rPr>
                <w:sz w:val="19"/>
              </w:rPr>
              <w:t>1. Realizar auditoria na base de dados de treinamento para validação de diversidade e remoção de vieses históricos;</w:t>
              <w:br/>
              <w:t>2. Garantir supervisão humana obrigatória (*Human-in-the-loop*) na fase final de deliberação;</w:t>
              <w:br/>
              <w:t>3. Revisar o contrato com o fornecedor externo para inclusão de cláusula expressa de confidencialidade e não utilização de dados corporativos para treino geral de LLMs.</w:t>
            </w:r>
          </w:p>
        </w:tc>
      </w:tr>
    </w:tbl>
    <w:p>
      <w:pPr>
        <w:keepNext/>
        <w:spacing w:before="200" w:after="80"/>
      </w:pPr>
      <w:r>
        <w:rPr>
          <w:b/>
          <w:color w:val="2D557D"/>
          <w:sz w:val="24"/>
        </w:rPr>
        <w:t>Membros do Comitê de Governança e Assinaturas Homologatórias: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240" w:after="120"/>
            </w:pPr>
            <w:r>
              <w:rPr>
                <w:sz w:val="18"/>
              </w:rPr>
              <w:t>_________________________________________</w:t>
              <w:br/>
              <w:t>Líder de Jurídico &amp; Compliance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240" w:after="120"/>
            </w:pPr>
            <w:r>
              <w:rPr>
                <w:sz w:val="18"/>
              </w:rPr>
              <w:t>_________________________________________</w:t>
              <w:br/>
              <w:t>Encarregado de Proteção de Dados (DPO)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240" w:after="120"/>
            </w:pPr>
            <w:r>
              <w:rPr>
                <w:sz w:val="18"/>
              </w:rPr>
              <w:t>_________________________________________</w:t>
              <w:br/>
              <w:t>Chief Information Security Officer (CISO)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240" w:after="120"/>
            </w:pPr>
            <w:r>
              <w:rPr>
                <w:sz w:val="18"/>
              </w:rPr>
              <w:t>_________________________________________</w:t>
              <w:br/>
              <w:t>Arquiteto de Tecnologia / Dados</w:t>
            </w:r>
          </w:p>
        </w:tc>
      </w:tr>
      <w:tr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240" w:after="120"/>
            </w:pPr>
            <w:r>
              <w:rPr>
                <w:sz w:val="18"/>
              </w:rPr>
              <w:t>_________________________________________</w:t>
              <w:br/>
              <w:t>Gestor de Riscos Corporativos (GRC)</w:t>
            </w:r>
          </w:p>
        </w:tc>
        <w:tc>
          <w:tcPr>
            <w:tcW w:type="dxa" w:w="468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spacing w:before="240" w:after="120"/>
            </w:pPr>
            <w:r>
              <w:rPr>
                <w:sz w:val="18"/>
              </w:rPr>
              <w:t>_________________________________________</w:t>
              <w:br/>
              <w:t>Diretor da Área Demandante (Business)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7"/>
      </w:rPr>
      <w:t>Formulário de Avaliação de Impacto Algorítmico — Uso Interno e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7"/>
      </w:rPr>
      <w:t>SISTEMA DE GOVERNANÇA EM IA | AVALIAÇÃO DE IMPACTO ALGORÍTMICO (AIA/AIIA)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