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B365D"/>
          <w:sz w:val="36"/>
        </w:rPr>
        <w:t>MINUTA DE PORTARIA / RESOLUÇÃO CORPORATIVA</w:t>
      </w:r>
    </w:p>
    <w:p>
      <w:pPr>
        <w:spacing w:after="360"/>
        <w:jc w:val="center"/>
      </w:pPr>
      <w:r>
        <w:rPr>
          <w:rFonts w:ascii="Calibri" w:hAnsi="Calibri"/>
          <w:b/>
          <w:color w:val="46505F"/>
          <w:sz w:val="26"/>
        </w:rPr>
        <w:t>Instituição e Regulamentação do Comitê Multidisciplinar de Ética e Governança em Inteligência Artificial (CMEG-IA)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Código do Normativo:</w:t>
            </w:r>
          </w:p>
        </w:tc>
        <w:tc>
          <w:tcPr>
            <w:tcW w:type="dxa" w:w="6480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POR-GOV-IA-001/2026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Órgão Proponente:</w:t>
            </w:r>
          </w:p>
        </w:tc>
        <w:tc>
          <w:tcPr>
            <w:tcW w:type="dxa" w:w="6480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Diretoria de Governança, Riscos e Tecnologia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Âmbito de Aplicação:</w:t>
            </w:r>
          </w:p>
        </w:tc>
        <w:tc>
          <w:tcPr>
            <w:tcW w:type="dxa" w:w="6480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Todas as Unidades de Negócio e Áreas Corporativas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Vigência:</w:t>
            </w:r>
          </w:p>
        </w:tc>
        <w:tc>
          <w:tcPr>
            <w:tcW w:type="dxa" w:w="6480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partir da data de publicação e homologação</w:t>
            </w:r>
          </w:p>
        </w:tc>
      </w:tr>
    </w:tbl>
    <w:p>
      <w:pPr>
        <w:spacing w:after="240"/>
      </w:pPr>
    </w:p>
    <w:p>
      <w:pPr>
        <w:spacing w:after="240" w:line="276" w:lineRule="auto"/>
      </w:pPr>
      <w:r>
        <w:rPr>
          <w:i/>
          <w:sz w:val="21"/>
        </w:rPr>
        <w:t>A DIRETORIA EXECUTIVA / CONSELHO DE ADMINISTRAÇÃO, no uso de suas atribuições estatutárias e regimentais, considerando a necessidade de estabelecer direcionamentos estratégicos, éticos e regulatórios para o desenvolvimento, aquisição, implementação e operação de soluções de Inteligência Artificial (IA) no âmbito corporativo, garantindo a centralidade da pessoa humana, a mitigação de vieses algorítmicos e a conformidade legal com a Lei Geral de Proteção de Dados (LGPD) e os padrões internacionais ISO/IEC 42001, RESOLVE: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CAPÍTULO I — DO OBJETO E FINALIDADE</w:t>
      </w:r>
    </w:p>
    <w:p>
      <w:r>
        <w:rPr>
          <w:b/>
        </w:rPr>
        <w:t xml:space="preserve">Art. 1º </w:t>
      </w:r>
      <w:r>
        <w:t>Fica instituído o Comitê Multidisciplinar de Ética e Governança em Inteligência Artificial (CMEG-IA), órgão colegiado de caráter consultivo, deliberativo e de supervisão contínua, responsável por direcionar, avaliar e monitorar todas as iniciativas que envolvam sistemas de IA na organização.</w:t>
      </w:r>
    </w:p>
    <w:p>
      <w:r>
        <w:rPr>
          <w:b/>
        </w:rPr>
        <w:t xml:space="preserve">Art. 2º </w:t>
      </w:r>
      <w:r>
        <w:t>O CMEG-IA tem por finalidades precípuas:</w:t>
        <w:br/>
        <w:t>I. Assegurar que o desenvolvimento e o uso de IA sigam os princípios de centralidade da pessoa humana, transparência, explicabilidade e não discriminação;</w:t>
        <w:br/>
        <w:t>II. Promover o alinhamento das soluções de IA com a estratégia corporativa, o apetite de risco da empresa e os pilares socioambientais e de governança (ESG);</w:t>
        <w:br/>
        <w:t>III. Mapear, prevenir e mitigar riscos legais, reputacionais, cibernéticos e de vieses algorítmicos em todo o ciclo de vida dos sistemas de IA;</w:t>
        <w:br/>
        <w:t>IV. Garantir o estrito cumprimento da LGPD, normativos da ANPD, marco regulatório da IA e padrões internacionais de governança (como a ISO/IEC 42001 e o GenAI Governance Framework).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CAPÍTULO II — DA COMPOSIÇÃO MULTIDISCIPLINAR</w:t>
      </w:r>
    </w:p>
    <w:p>
      <w:r>
        <w:rPr>
          <w:b/>
        </w:rPr>
        <w:t xml:space="preserve">Art. 3º </w:t>
      </w:r>
      <w:r>
        <w:t>O CMEG-IA será constituído por uma estrutura multidisciplinar e transversal, integrando representantes titulares e suplentes das seguintes áreas estratégicas: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Área / Papel</w:t>
            </w:r>
          </w:p>
        </w:tc>
        <w:tc>
          <w:tcPr>
            <w:tcW w:type="dxa" w:w="244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Membro do Comitê</w:t>
            </w:r>
          </w:p>
        </w:tc>
        <w:tc>
          <w:tcPr>
            <w:tcW w:type="dxa" w:w="432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Atribuição Específica no Colegiado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Jurídico &amp; Compliance</w:t>
            </w:r>
          </w:p>
        </w:tc>
        <w:tc>
          <w:tcPr>
            <w:tcW w:type="dxa" w:w="2448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Líder Jurídico Corporativo</w:t>
            </w:r>
          </w:p>
        </w:tc>
        <w:tc>
          <w:tcPr>
            <w:tcW w:type="dxa" w:w="4320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Avaliação de conformidade legal, marcos regulatórios (PL 2338/2023) e gestão de contratos de IA com terceiros.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Privacidade de Dados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Encarregado de Dados (DPO)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Verificação do alinhamento com a LGPD, salvaguardas de Privacy by Design e acompanhamento de RIPD/DPIA.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Tecnologia &amp; Arquitetura</w:t>
            </w:r>
          </w:p>
        </w:tc>
        <w:tc>
          <w:tcPr>
            <w:tcW w:type="dxa" w:w="2448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Chief Technology Officer / Arquiteto</w:t>
            </w:r>
          </w:p>
        </w:tc>
        <w:tc>
          <w:tcPr>
            <w:tcW w:type="dxa" w:w="4320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Análise de viabilidade técnica, infraestrutura cibernética, integração de modelos e governança de dados.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Segurança da Informação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Chief Information Security Officer (CISO)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Validar controles de cibersegurança, prevenção de vazamentos e gestão de incidentes cibernéticos em IA.</w:t>
            </w:r>
          </w:p>
        </w:tc>
      </w:tr>
      <w:tr>
        <w:tc>
          <w:tcPr>
            <w:tcW w:type="dxa" w:w="2592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Riscos &amp; Governança</w:t>
            </w:r>
          </w:p>
        </w:tc>
        <w:tc>
          <w:tcPr>
            <w:tcW w:type="dxa" w:w="2448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Gestor de Riscos Corporativos</w:t>
            </w:r>
          </w:p>
        </w:tc>
        <w:tc>
          <w:tcPr>
            <w:tcW w:type="dxa" w:w="4320"/>
            <w:shd w:val="clear" w:color="auto"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Mapeamento e classificação de riscos no ciclo de vida da IA e integração com a estrutura GRC corporativa.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Negócios &amp; Produtos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Business Partner / Diretor de Negócio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Garantir o alinhamento com os objetivos comerciais, retorno sobre investimento e experiência dos clientes/usuários.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CAPÍTULO III — DAS COMPETÊNCIAS E ATRIBUIÇÕES</w:t>
      </w:r>
    </w:p>
    <w:p>
      <w:r>
        <w:rPr>
          <w:b/>
        </w:rPr>
        <w:t xml:space="preserve">Art. 4º </w:t>
      </w:r>
      <w:r>
        <w:t>Compete ao Comitê Multidisciplinar de Ética e Governança em IA (CMEG-IA):</w:t>
        <w:br/>
      </w:r>
    </w:p>
    <w:p>
      <w:pPr>
        <w:pStyle w:val="ListBullet"/>
        <w:spacing w:after="80"/>
      </w:pPr>
      <w:r>
        <w:rPr>
          <w:b/>
          <w:color w:val="1B365D"/>
        </w:rPr>
        <w:t xml:space="preserve">Aprovação e Avaliação de Projetos: </w:t>
      </w:r>
      <w:r>
        <w:t>Analisar e emitir parecer conclusivo sobre a aprovação de novas soluções e ferramentas de IA (internas ou contratadas de terceiros) antes de sua entrada em produção.</w:t>
      </w:r>
    </w:p>
    <w:p>
      <w:pPr>
        <w:pStyle w:val="ListBullet"/>
        <w:spacing w:after="80"/>
      </w:pPr>
      <w:r>
        <w:rPr>
          <w:b/>
          <w:color w:val="1B365D"/>
        </w:rPr>
        <w:t xml:space="preserve">Avaliação de Impacto Algorítmico (AIA): </w:t>
      </w:r>
      <w:r>
        <w:t>Exigir e homologar o Relatório de Avaliação de Impacto Algorítmico para sistemas classificados como de alto risco, identificando potenciais impactos a direitos fundamentais.</w:t>
      </w:r>
    </w:p>
    <w:p>
      <w:pPr>
        <w:pStyle w:val="ListBullet"/>
        <w:spacing w:after="80"/>
      </w:pPr>
      <w:r>
        <w:rPr>
          <w:b/>
          <w:color w:val="1B365D"/>
        </w:rPr>
        <w:t xml:space="preserve">Mapeamento e Gestão de Vieses: </w:t>
      </w:r>
      <w:r>
        <w:t>Supervisionar a aplicação de metodologias de amostragem e auditoria de dados para prevenir discriminação algorítmica por gênero, raça, idade ou classe socioeconômica.</w:t>
      </w:r>
    </w:p>
    <w:p>
      <w:pPr>
        <w:pStyle w:val="ListBullet"/>
        <w:spacing w:after="80"/>
      </w:pPr>
      <w:r>
        <w:rPr>
          <w:b/>
          <w:color w:val="1B365D"/>
        </w:rPr>
        <w:t xml:space="preserve">Inventário Centralizado de IA: </w:t>
      </w:r>
      <w:r>
        <w:t>Manter atualizado o inventário único de aplicações e modelos de IA da organização, combatendo o uso não autorizado de ferramentas externas (Shadow AI).</w:t>
      </w:r>
    </w:p>
    <w:p>
      <w:pPr>
        <w:pStyle w:val="ListBullet"/>
        <w:spacing w:after="80"/>
      </w:pPr>
      <w:r>
        <w:rPr>
          <w:b/>
          <w:color w:val="1B365D"/>
        </w:rPr>
        <w:t xml:space="preserve">Due Diligence de Fornecedores: </w:t>
      </w:r>
      <w:r>
        <w:t>Estabelecer critérios rígidos de auditoria ética e contratual na aquisição de algoritmos, LLMs e APIs de parceiros tecnológicos.</w:t>
      </w:r>
    </w:p>
    <w:p>
      <w:pPr>
        <w:pStyle w:val="ListBullet"/>
        <w:spacing w:after="80"/>
      </w:pPr>
      <w:r>
        <w:rPr>
          <w:b/>
          <w:color w:val="1B365D"/>
        </w:rPr>
        <w:t xml:space="preserve">Transparência e Explicabilidade: </w:t>
      </w:r>
      <w:r>
        <w:t>Garantir que as soluções de IA forneçam explicações compreensíveis sobre suas inferências e notifiquem os usuários quando estiverem interagindo com sistemas automatizados.</w:t>
      </w:r>
    </w:p>
    <w:p>
      <w:pPr>
        <w:pStyle w:val="ListBullet"/>
        <w:spacing w:after="80"/>
      </w:pPr>
      <w:r>
        <w:rPr>
          <w:b/>
          <w:color w:val="1B365D"/>
        </w:rPr>
        <w:t xml:space="preserve">Canais de Contestação e Supervisão Humana: </w:t>
      </w:r>
      <w:r>
        <w:t>Assegurar fluxos para que titulares solicitem a revisão humana (human-in-the-loop) de decisões automatizadas de alto impacto.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CAPÍTULO IV — DO RITO OPERACIONAL E FUNCIONAMENTO</w:t>
      </w:r>
    </w:p>
    <w:p>
      <w:r>
        <w:rPr>
          <w:b/>
        </w:rPr>
        <w:t xml:space="preserve">Art. 5º </w:t>
      </w:r>
      <w:r>
        <w:t>O CMEG-IA reunirse-á ordinariamente com periodicidade mensal e, extraordinariamente, sempre que convocado por seu Presidente ou por solicitação de qualquer um de seus membros efetivos.</w:t>
      </w:r>
    </w:p>
    <w:p>
      <w:r>
        <w:rPr>
          <w:b/>
        </w:rPr>
        <w:t xml:space="preserve">Art. 6º </w:t>
      </w:r>
      <w:r>
        <w:t>As deliberações do Comitê serão tomadas por maioria simples de votos, mediante quórum mínimo de instalação de metade mais um de seus membros titulares.</w:t>
      </w:r>
    </w:p>
    <w:p>
      <w:r>
        <w:rPr>
          <w:b/>
        </w:rPr>
        <w:t xml:space="preserve">Art. 7º </w:t>
      </w:r>
      <w:r>
        <w:t>O Comitê submeterá anualmente ao Conselho de Administração e à Diretoria Executiva o Relatório de Maturidade e Governança de IA, contendo o panorama das soluções em uso, métricas de conformidade e incidentes registrados.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6"/>
        </w:rPr>
        <w:t>CAPÍTULO V — DAS DISPOSIÇÕES FINAIS</w:t>
      </w:r>
    </w:p>
    <w:p>
      <w:r>
        <w:rPr>
          <w:b/>
        </w:rPr>
        <w:t xml:space="preserve">Art. 8º </w:t>
      </w:r>
      <w:r>
        <w:t>Os casos omissos nesta Portaria serão deliberados pelo próprio CMEG-IA e submetidos à aprovação da Diretoria Executiva.</w:t>
      </w:r>
    </w:p>
    <w:p>
      <w:r>
        <w:rPr>
          <w:b/>
        </w:rPr>
        <w:t xml:space="preserve">Art. 9º </w:t>
      </w:r>
      <w:r>
        <w:t>Esta Portaria entra em vigor na data de sua publicação, revogadas as disposições em contrário.</w:t>
      </w:r>
    </w:p>
    <w:p>
      <w:pPr>
        <w:spacing w:after="480"/>
      </w:pPr>
    </w:p>
    <w:p>
      <w:pPr>
        <w:spacing w:after="80"/>
        <w:jc w:val="center"/>
      </w:pPr>
      <w:r>
        <w:rPr>
          <w:b/>
        </w:rPr>
        <w:t>____________________________________________________</w:t>
        <w:br/>
      </w:r>
      <w:r>
        <w:rPr>
          <w:b/>
          <w:color w:val="1B365D"/>
        </w:rPr>
        <w:t>DIRETORIA EXECUTIVA / CONSELHO DE ADMINISTRAÇÃO</w:t>
        <w:br/>
      </w:r>
      <w:r>
        <w:t>Organização / Empresa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Comitê Multidisciplinar de Ética e Governança em Inteligência Artificial (CMEG-IA) — Documento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MODELO DE GOVERNANÇA CORPORATIVA | MINUTA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