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B365D"/>
          <w:sz w:val="36"/>
        </w:rPr>
        <w:t>POLÍTICA CORPORATIVA DE USO ACEITÁVEL DE INTELIGÊNCIA ARTIFICIAL GENERATIVA (GenAI)</w:t>
      </w:r>
    </w:p>
    <w:p>
      <w:pPr>
        <w:spacing w:after="480"/>
        <w:jc w:val="center"/>
      </w:pPr>
      <w:r>
        <w:rPr>
          <w:i/>
          <w:color w:val="595959"/>
          <w:sz w:val="24"/>
        </w:rPr>
        <w:t>Guia de Diretrizes, Classificação de Dados e Prevenção de Riscos com GenAI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B365D"/>
          <w:sz w:val="28"/>
        </w:rPr>
        <w:t>1. OBJETIVO E APLICABILIDADE</w:t>
      </w:r>
    </w:p>
    <w:p>
      <w:r>
        <w:t>Esta Política estabelece as diretrizes institucionais compulsórias para a utilização de soluções de Inteligência Artificial Generativa (GenAI) — tais como assistentes de linguagem (LLMs), geradores de imagem, código e áudio — no âmbito corporativo. O objetivo central é promover a inovação responsável, garantindo a proteção de segredos de negócio, a privacidade de dados pessoais e a segurança da informação.</w:t>
      </w:r>
    </w:p>
    <w:p>
      <w:r>
        <w:rPr>
          <w:b/>
        </w:rPr>
        <w:t xml:space="preserve">Aplicabilidade: </w:t>
      </w:r>
      <w:r>
        <w:t>As normas deste documento aplicam-se a todos os colaboradores, estagiários, executivos, consultores e prestadores de serviços terceirizados que utilizem recursos tecnológicos corporativos ou realizem atividades em nome da organização.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B365D"/>
          <w:sz w:val="28"/>
        </w:rPr>
        <w:t>2. CATEGORIZAÇÃO DE FERRAMENTAS E AMBIENTES DE IA</w:t>
      </w:r>
    </w:p>
    <w:p>
      <w:r>
        <w:t>Para fins desta política, as ferramentas de Inteligência Artificial dividem-se em duas categorias operacionais:</w:t>
      </w:r>
    </w:p>
    <w:p>
      <w:pPr>
        <w:pStyle w:val="ListBullet"/>
      </w:pPr>
      <w:r>
        <w:rPr>
          <w:b/>
        </w:rPr>
        <w:t xml:space="preserve">Ferramentas Corporativas Homologadas: </w:t>
      </w:r>
      <w:r>
        <w:t>Plataformas contratadas formalmente pela organização, com garantias contratuais de confidencialidade, criptografia, suporte dedicado e cláusulas explícitas que impedem o uso dos dados corporativos para o treinamento de modelos públicos de terceiros.</w:t>
      </w:r>
    </w:p>
    <w:p>
      <w:pPr>
        <w:pStyle w:val="ListBullet"/>
      </w:pPr>
      <w:r>
        <w:rPr>
          <w:b/>
        </w:rPr>
        <w:t xml:space="preserve">Ferramentas Públicas / Não Homologadas (Shadow AI): </w:t>
      </w:r>
      <w:r>
        <w:t>Serviços gratuitos ou contas pessoais acessíveis via web (ex.: versão pública do ChatGPT, Claude, Midjourney), em que os termos de uso padrão autorizam a retenção e reuso dos comandos (prompts) e arquivos anexados para aperfeiçoamento dos algoritmos globais.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B365D"/>
          <w:sz w:val="28"/>
        </w:rPr>
        <w:t>3. MATRIZ DE PERMISSÃO DE DADOS EM PROMPTS</w:t>
      </w:r>
    </w:p>
    <w:p>
      <w:r>
        <w:t>É estritamente proibido inserir dados confidenciais ou protegidos por lei em ferramentas de IA públicas. A matriz a seguir estabelece as diretrizes de entrada de dados (prompts) por nível de sensibilidade: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B365D" w:val="clea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Classificação do Dado</w:t>
            </w:r>
          </w:p>
        </w:tc>
        <w:tc>
          <w:tcPr>
            <w:tcW w:type="dxa" w:w="4608"/>
            <w:shd w:fill="1B365D" w:val="clea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Exemplos do Conteúdo</w:t>
            </w:r>
          </w:p>
        </w:tc>
        <w:tc>
          <w:tcPr>
            <w:tcW w:type="dxa" w:w="2592"/>
            <w:shd w:fill="1B365D" w:val="clea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Status em Ferramentas Públicas</w:t>
            </w:r>
          </w:p>
        </w:tc>
      </w:tr>
      <w:tr>
        <w:tc>
          <w:tcPr>
            <w:tcW w:type="dxa" w:w="2160"/>
            <w:shd w:fill="F2F4F7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Público</w:t>
            </w:r>
          </w:p>
        </w:tc>
        <w:tc>
          <w:tcPr>
            <w:tcW w:type="dxa" w:w="4608"/>
            <w:shd w:fill="F2F4F7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Material de marketing divulgado, press releases, artigos abertos, dados institucionais públicos.</w:t>
            </w:r>
          </w:p>
        </w:tc>
        <w:tc>
          <w:tcPr>
            <w:tcW w:type="dxa" w:w="2592"/>
            <w:shd w:fill="F2F4F7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276A3C"/>
              </w:rPr>
              <w:t>PERMITIDO</w:t>
            </w:r>
          </w:p>
        </w:tc>
      </w:tr>
      <w:tr>
        <w:tc>
          <w:tcPr>
            <w:tcW w:type="dxa" w:w="2160"/>
            <w:shd w:fill="FFFFFF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Interno / Geral</w:t>
            </w:r>
          </w:p>
        </w:tc>
        <w:tc>
          <w:tcPr>
            <w:tcW w:type="dxa" w:w="4608"/>
            <w:shd w:fill="FFFFFF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Rascunhos de e-mails de rotina, modelos de apresentações genéricas, textos sem dados sensíveis.</w:t>
            </w:r>
          </w:p>
        </w:tc>
        <w:tc>
          <w:tcPr>
            <w:tcW w:type="dxa" w:w="2592"/>
            <w:shd w:fill="FFFFFF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D9822B"/>
              </w:rPr>
              <w:t>PERMITIDO COM CAUTELA</w:t>
            </w:r>
          </w:p>
        </w:tc>
      </w:tr>
      <w:tr>
        <w:tc>
          <w:tcPr>
            <w:tcW w:type="dxa" w:w="2160"/>
            <w:shd w:fill="F2F4F7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Pessoal (LGPD)</w:t>
            </w:r>
          </w:p>
        </w:tc>
        <w:tc>
          <w:tcPr>
            <w:tcW w:type="dxa" w:w="4608"/>
            <w:shd w:fill="F2F4F7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CPF, nomes de clientes, prontuários, dados financeiros de indivíduos, currículos com dados pessoais.</w:t>
            </w:r>
          </w:p>
        </w:tc>
        <w:tc>
          <w:tcPr>
            <w:tcW w:type="dxa" w:w="2592"/>
            <w:shd w:fill="F2F4F7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C00000"/>
              </w:rPr>
              <w:t>PROIBIDO</w:t>
            </w:r>
          </w:p>
        </w:tc>
      </w:tr>
      <w:tr>
        <w:tc>
          <w:tcPr>
            <w:tcW w:type="dxa" w:w="2160"/>
            <w:shd w:fill="FFFFFF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Confidencial / Segredo</w:t>
            </w:r>
          </w:p>
        </w:tc>
        <w:tc>
          <w:tcPr>
            <w:tcW w:type="dxa" w:w="4608"/>
            <w:shd w:fill="FFFFFF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Código-fonte proprietário, planos estratégicos, balanços não publicados, senhas e chaves API.</w:t>
            </w:r>
          </w:p>
        </w:tc>
        <w:tc>
          <w:tcPr>
            <w:tcW w:type="dxa" w:w="2592"/>
            <w:shd w:fill="FFFFFF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C00000"/>
              </w:rPr>
              <w:t>ESTRITAMENTE PROIBIDO</w:t>
            </w:r>
          </w:p>
        </w:tc>
      </w:tr>
    </w:tbl>
    <w:p>
      <w:pPr>
        <w:spacing w:before="120"/>
      </w:pP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B365D"/>
          <w:sz w:val="28"/>
        </w:rPr>
        <w:t>4. RESPONSABILIDADE SOBRE OS RESULTADOS (OUTPUTS)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404040"/>
          <w:sz w:val="24"/>
        </w:rPr>
        <w:t>4.1. Validação Humana Obrigatória (Human-in-the-Loop)</w:t>
      </w:r>
    </w:p>
    <w:p>
      <w:r>
        <w:t>Os modelos de IA Generativa são passíveis de alucinações (geração de fatos falsos com aparência de veracidade), erros lógicos e viés algorítmico. O colaborador que utilizar IA para elaborar documentos, pareceres ou códigos de programação é integralmente responsável pela precisão técnica, legal e operacional do conteúdo final.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404040"/>
          <w:sz w:val="24"/>
        </w:rPr>
        <w:t>4.2. Propriedade Intelectual e Direitos Autorais</w:t>
      </w:r>
    </w:p>
    <w:p>
      <w:r>
        <w:t>É vedado a utilização de trechos de código ou imagens gerados por IA em produtos finais sem a prévia verificação de licenças e riscos de violação involuntária de direitos autorais de terceiros.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B365D"/>
          <w:sz w:val="28"/>
        </w:rPr>
        <w:t>5. SEGURANÇA DA INFORMAÇÃO E CIBERSEGURANÇA</w:t>
      </w:r>
    </w:p>
    <w:p>
      <w:r>
        <w:t>Para prevenir incidentes de cibersegurança e engenharia social, devem ser observadas as seguintes vedações:</w:t>
      </w:r>
    </w:p>
    <w:p>
      <w:pPr>
        <w:pStyle w:val="ListBullet"/>
      </w:pPr>
      <w:r>
        <w:rPr>
          <w:b/>
        </w:rPr>
        <w:t xml:space="preserve">Proibição de Engenharia de Prompts Maliciosa: </w:t>
      </w:r>
      <w:r>
        <w:t>É proibido realizar tentativas de bypass (*jailbreak* ou *prompt injection*) nas ferramentas corporativas para burlar filtros de segurança.</w:t>
      </w:r>
    </w:p>
    <w:p>
      <w:pPr>
        <w:pStyle w:val="ListBullet"/>
      </w:pPr>
      <w:r>
        <w:rPr>
          <w:b/>
        </w:rPr>
        <w:t xml:space="preserve">Verificação de Links e Arquivos do Output: </w:t>
      </w:r>
      <w:r>
        <w:t>Não clicar em links ou executar scripts e códigos baixados de ferramentas de IA sem antes validá-los em ambiente isolado (*sandbox*).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B365D"/>
          <w:sz w:val="28"/>
        </w:rPr>
        <w:t>6. GESTÃO DE CONSEQUÊNCIAS E CANAL DE DÚVIDAS</w:t>
      </w:r>
    </w:p>
    <w:p>
      <w:r>
        <w:t>O descumprimento das diretrizes desta Política sujeitará o infrator às penalidades disciplinares previstas no Regulamento Interno da empresa (advertência, suspensão ou desligamento por justa causa), além das responsabilizações cíveis e criminais aplicáveis.</w:t>
      </w:r>
    </w:p>
    <w:p>
      <w:r>
        <w:t>Dúvidas sobre o uso de ferramentas ou pedidos de homologação de novas soluções devem ser encaminhados diretamente ao Comitê Multidisciplinar de Ética e Governança em IA (CMEG-IA) ou à Gerência de Segurança da Informação.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