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Instituto Federal do Paraná - Câmpus Pinhais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87304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Bacharelado em Ciência da Computação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87304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Novas Tecnologias em Redes de Comunicação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87304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2º Semestre de 2026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1.63818359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Atividade - Redes Definidas por Software II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84912109375" w:line="240" w:lineRule="auto"/>
        <w:ind w:left="12.8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Instruções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344.8327159881592" w:lineRule="auto"/>
        <w:ind w:left="718.6799621582031" w:right="33.123779296875" w:hanging="341.28005981445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 atividade deve ser realizada em trios, duplas ou individualmente. Dessa forma, uma vez identificada a cópia entre diferentes atividades entregues, as respectivas não serão consideradas na contabilização da nota total;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734375" w:line="344.8327159881592" w:lineRule="auto"/>
        <w:ind w:left="725.159912109375" w:right="50.19287109375" w:hanging="347.7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Caso seja identificado algum tipo de plágio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0000953674316"/>
          <w:szCs w:val="24.00000095367431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será atribuída, automaticamente, a nota zero ao grupo;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1240234375" w:line="344.8327159881592" w:lineRule="auto"/>
        <w:ind w:left="734.0399169921875" w:right="30.394287109375" w:hanging="356.64001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O documento a ser entregue deverá seguir o formato de artigo da Sociedade Brasileira de Computação (SBC)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0000953674316"/>
          <w:szCs w:val="24.00000095367431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1240234375" w:line="344.8327159881592" w:lineRule="auto"/>
        <w:ind w:left="724.6798706054688" w:right="0" w:hanging="347.27996826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 qualidade das entregas será detalhadamente pontuada. Portanto, a depender da qualidade dos itens desenvolvidos, mesmo que sejam entregues, poderão ser considerados como não entregues.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0169677734375" w:line="240" w:lineRule="auto"/>
        <w:ind w:left="6.83990478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Problema (ainda…)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344.8327159881592" w:lineRule="auto"/>
        <w:ind w:left="4.67987060546875" w:right="0.43212890625" w:firstLine="711.84005737304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provedora de serviços de nuvem (da atividade passada) ainda ficou com algumas dúvidas sobre o funcionamento desse paradigma chamado SDN. Ela pesquisou sobre o protocolo OpenFlow e verificou que o seu papel vem mudando nos últimos anos, principalmente por conta de suas limitações técnicas. Ela também disse que possui a necessidade de implementar políticas de priorização de tráfego para pacotes de sensores IoT em tempo real, mas seus switches atuais não reconhecem esse novo protocolo e o fabricante leva anos para atualizar o software. Por isso, verificou que uma tecnologia chamada de P4 poderia auxiliar, tanto na evolução do OpenFlow quanto no protocolo proprietário dos sensores IoT.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4.5062255859375" w:line="223.34262371063232" w:lineRule="auto"/>
        <w:ind w:left="9.720001220703125" w:right="1074.8895263671875" w:hanging="0.1200866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Código Penal. Art. 184. Violar direitos de autor e os que lhe são conexos. Disponível em: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0"/>
          <w:szCs w:val="20"/>
          <w:u w:val="none"/>
          <w:shd w:fill="auto" w:val="clear"/>
          <w:vertAlign w:val="baseline"/>
          <w:rtl w:val="0"/>
        </w:rPr>
        <w:t xml:space="preserve">https://www.planalto.gov.br/ccivil_03/leis/2003/l10.695.htm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SBC: Templates para Artigos e Capítulos de Livros. Disponível em: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64.753532409668" w:lineRule="auto"/>
        <w:ind w:left="8923.743896484375" w:right="105.806884765625" w:hanging="8914.02404785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0"/>
          <w:szCs w:val="20"/>
          <w:u w:val="none"/>
          <w:shd w:fill="auto" w:val="clear"/>
          <w:vertAlign w:val="baseline"/>
          <w:rtl w:val="0"/>
        </w:rPr>
        <w:t xml:space="preserve">https://www.sbc.org.br/documentos-da-sbc/category/169-templates-para-artigos-e-capitulos-de-livros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8.519897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base nisso: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344.8327159881592" w:lineRule="auto"/>
        <w:ind w:left="723.9599609375" w:right="31.02783203125" w:hanging="346.56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Explique quais são as principais limitações do OpenFlow e como o P4 visa superá-las;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734375" w:line="344.8327159881592" w:lineRule="auto"/>
        <w:ind w:left="725.8799743652344" w:right="24.967041015625" w:hanging="348.48007202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Apresente o funcionamento básico da arquitetura P4 para o cenário desse cliente;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734375" w:line="344.8327159881592" w:lineRule="auto"/>
        <w:ind w:left="732.3599243164062" w:right="35.70556640625" w:hanging="354.9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Exemplifique como o P4 poderia ser utilizado para priorizar o tráfego gerado por sensores IoT;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734375" w:line="344.8327159881592" w:lineRule="auto"/>
        <w:ind w:left="718.6799621582031" w:right="27.730712890625" w:hanging="341.28005981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Apresente uma tecnologia de controlador SDN, suas principais funcionalidades, protocolos suportados e vantagens.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79.62890625" w:line="240" w:lineRule="auto"/>
        <w:ind w:left="0" w:right="77.229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sectPr>
      <w:pgSz w:h="16840" w:w="11920" w:orient="portrait"/>
      <w:pgMar w:bottom="799.56787109375" w:top="1541.69189453125" w:left="1443.4800720214844" w:right="1388.8659667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