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100CC" w14:textId="77777777" w:rsidR="006E36CB" w:rsidRDefault="00000000">
      <w:pPr>
        <w:spacing w:before="240" w:after="200"/>
        <w:jc w:val="center"/>
        <w:rPr>
          <w:lang w:val="pt-BR"/>
        </w:rPr>
      </w:pPr>
      <w:r>
        <w:rPr>
          <w:b/>
          <w:bCs/>
          <w:sz w:val="32"/>
          <w:szCs w:val="32"/>
          <w:lang w:val="pt-BR"/>
        </w:rPr>
        <w:t>Infraestrutura de IoT para agricultura de precisão: dispositivos, protocolos de aplicação e integração com o ERP</w:t>
      </w:r>
    </w:p>
    <w:p w14:paraId="58F84C54" w14:textId="77777777" w:rsidR="006E36CB" w:rsidRDefault="00000000">
      <w:pPr>
        <w:spacing w:before="200" w:after="100"/>
        <w:jc w:val="center"/>
        <w:rPr>
          <w:lang w:val="pt-BR"/>
        </w:rPr>
      </w:pPr>
      <w:r>
        <w:rPr>
          <w:b/>
          <w:bCs/>
          <w:lang w:val="pt-BR"/>
        </w:rPr>
        <w:t>Ciro Guilherme Nass</w:t>
      </w:r>
    </w:p>
    <w:p w14:paraId="48951186" w14:textId="77777777" w:rsidR="006E36CB" w:rsidRDefault="00000000">
      <w:pPr>
        <w:jc w:val="center"/>
        <w:rPr>
          <w:lang w:val="pt-BR"/>
        </w:rPr>
      </w:pPr>
      <w:r>
        <w:rPr>
          <w:lang w:val="pt-BR"/>
        </w:rPr>
        <w:t>Bacharelado em Ciência da Computação</w:t>
      </w:r>
    </w:p>
    <w:p w14:paraId="19CE27CF" w14:textId="77777777" w:rsidR="006E36CB" w:rsidRDefault="00000000">
      <w:pPr>
        <w:jc w:val="center"/>
        <w:rPr>
          <w:lang w:val="pt-BR"/>
        </w:rPr>
      </w:pPr>
      <w:r>
        <w:rPr>
          <w:lang w:val="pt-BR"/>
        </w:rPr>
        <w:t>Instituto Federal do Paraná (IFPR), Câmpus Pinhais</w:t>
      </w:r>
    </w:p>
    <w:p w14:paraId="14D9F9C8" w14:textId="77777777" w:rsidR="006E36CB" w:rsidRDefault="00000000">
      <w:pPr>
        <w:jc w:val="center"/>
        <w:rPr>
          <w:lang w:val="pt-BR"/>
        </w:rPr>
      </w:pPr>
      <w:r>
        <w:rPr>
          <w:lang w:val="pt-BR"/>
        </w:rPr>
        <w:t>Pinhais, PR, Brasil</w:t>
      </w:r>
    </w:p>
    <w:p w14:paraId="09502F5F" w14:textId="77777777" w:rsidR="006E36CB" w:rsidRDefault="00000000">
      <w:pPr>
        <w:jc w:val="center"/>
        <w:rPr>
          <w:lang w:val="pt-BR"/>
        </w:rPr>
      </w:pPr>
      <w:r>
        <w:rPr>
          <w:rFonts w:ascii="Courier New" w:hAnsi="Courier New" w:cs="Courier New"/>
          <w:sz w:val="20"/>
          <w:szCs w:val="20"/>
          <w:lang w:val="pt-BR"/>
        </w:rPr>
        <w:t>20230007547@estudantes.ifpr.edu.br</w:t>
      </w:r>
    </w:p>
    <w:p w14:paraId="64360E73" w14:textId="77777777" w:rsidR="006E36CB" w:rsidRPr="00485E99" w:rsidRDefault="00000000">
      <w:pPr>
        <w:spacing w:before="220"/>
        <w:ind w:left="453" w:right="453"/>
        <w:jc w:val="both"/>
      </w:pPr>
      <w:r w:rsidRPr="00485E99">
        <w:rPr>
          <w:b/>
          <w:bCs/>
          <w:i/>
          <w:iCs/>
        </w:rPr>
        <w:t xml:space="preserve">Abstract. </w:t>
      </w:r>
      <w:r w:rsidRPr="00485E99">
        <w:rPr>
          <w:i/>
          <w:iCs/>
        </w:rPr>
        <w:t>This paper proposes an IoT infrastructure for a 500-hectare precision agriculture farm. Field devices are classified according to RFC 7228, an application protocol is chosen for each need (CoAP for soil and weather sensors, MQTT for irrigation control and XMPP for operator presence), and an edge gateway is proposed to send daily consolidated data to the company ERP.</w:t>
      </w:r>
    </w:p>
    <w:p w14:paraId="08D541CD" w14:textId="77777777" w:rsidR="006E36CB" w:rsidRDefault="00000000">
      <w:pPr>
        <w:spacing w:before="220"/>
        <w:ind w:left="453" w:right="453"/>
        <w:jc w:val="both"/>
        <w:rPr>
          <w:lang w:val="pt-BR"/>
        </w:rPr>
      </w:pPr>
      <w:r>
        <w:rPr>
          <w:b/>
          <w:bCs/>
          <w:i/>
          <w:iCs/>
          <w:lang w:val="pt-BR"/>
        </w:rPr>
        <w:t xml:space="preserve">Resumo. </w:t>
      </w:r>
      <w:r>
        <w:rPr>
          <w:i/>
          <w:iCs/>
          <w:lang w:val="pt-BR"/>
        </w:rPr>
        <w:t>Este trabalho propõe uma infraestrutura de IoT para uma fazenda de 500 hectares voltada à agricultura de precisão. Os dispositivos de campo são classificados segundo a RFC 7228, um protocolo de aplicação é escolhido para cada necessidade (</w:t>
      </w:r>
      <w:proofErr w:type="spellStart"/>
      <w:r>
        <w:rPr>
          <w:i/>
          <w:iCs/>
          <w:lang w:val="pt-BR"/>
        </w:rPr>
        <w:t>CoAP</w:t>
      </w:r>
      <w:proofErr w:type="spellEnd"/>
      <w:r>
        <w:rPr>
          <w:i/>
          <w:iCs/>
          <w:lang w:val="pt-BR"/>
        </w:rPr>
        <w:t xml:space="preserve"> para sensores de solo e clima, MQTT para a irrigação e XMPP para a presença dos operadores) e um gateway de borda é proposto para enviar os dados diários consolidados ao ERP da empresa.</w:t>
      </w:r>
    </w:p>
    <w:p w14:paraId="7849F7C9" w14:textId="77777777" w:rsidR="006E36CB" w:rsidRDefault="00000000">
      <w:pPr>
        <w:spacing w:before="250" w:after="40"/>
        <w:outlineLvl w:val="0"/>
        <w:rPr>
          <w:lang w:val="pt-BR"/>
        </w:rPr>
      </w:pPr>
      <w:r>
        <w:rPr>
          <w:b/>
          <w:bCs/>
          <w:sz w:val="26"/>
          <w:szCs w:val="26"/>
          <w:lang w:val="pt-BR"/>
        </w:rPr>
        <w:t>1. Introdução</w:t>
      </w:r>
    </w:p>
    <w:p w14:paraId="48B3E191" w14:textId="77777777" w:rsidR="006E36CB" w:rsidRDefault="00000000">
      <w:pPr>
        <w:spacing w:before="120"/>
        <w:jc w:val="both"/>
        <w:rPr>
          <w:lang w:val="pt-BR"/>
        </w:rPr>
      </w:pPr>
      <w:r>
        <w:rPr>
          <w:lang w:val="pt-BR"/>
        </w:rPr>
        <w:t>A fazenda tem três frentes de automação: sensores de solo e clima espalhados pelo campo, irrigadores e bombas ligados à rede elétrica, e um sistema para gerentes e operadores acompanharem alertas e saberem quais máquinas estão online. Além disso, um resumo diário precisa chegar ao ERP da empresa, que fica no centro urbano. A Seção 2 classifica os dispositivos, a Seção 3 escolhe os protocolos de aplicação e a Seção 4 mostra a integração com o ERP.</w:t>
      </w:r>
    </w:p>
    <w:p w14:paraId="37E141C8" w14:textId="77777777" w:rsidR="006E36CB" w:rsidRDefault="00000000">
      <w:pPr>
        <w:spacing w:before="250" w:after="40"/>
        <w:outlineLvl w:val="0"/>
        <w:rPr>
          <w:lang w:val="pt-BR"/>
        </w:rPr>
      </w:pPr>
      <w:r>
        <w:rPr>
          <w:b/>
          <w:bCs/>
          <w:sz w:val="26"/>
          <w:szCs w:val="26"/>
          <w:lang w:val="pt-BR"/>
        </w:rPr>
        <w:t>2. Dispositivos e classificação pela RFC 7228</w:t>
      </w:r>
    </w:p>
    <w:p w14:paraId="57A561C8" w14:textId="03F648A3" w:rsidR="006E36CB" w:rsidRDefault="00000000">
      <w:pPr>
        <w:spacing w:before="120"/>
        <w:jc w:val="both"/>
        <w:rPr>
          <w:lang w:val="pt-BR"/>
        </w:rPr>
      </w:pPr>
      <w:r>
        <w:rPr>
          <w:lang w:val="pt-BR"/>
        </w:rPr>
        <w:t xml:space="preserve">A RFC 7228 separa os dispositivos restritos em três classes. A Classe 0 tem bem menos de 10 </w:t>
      </w:r>
      <w:proofErr w:type="spellStart"/>
      <w:r>
        <w:rPr>
          <w:lang w:val="pt-BR"/>
        </w:rPr>
        <w:t>KiB</w:t>
      </w:r>
      <w:proofErr w:type="spellEnd"/>
      <w:r>
        <w:rPr>
          <w:lang w:val="pt-BR"/>
        </w:rPr>
        <w:t xml:space="preserve"> de RAM e 100 </w:t>
      </w:r>
      <w:proofErr w:type="spellStart"/>
      <w:r>
        <w:rPr>
          <w:lang w:val="pt-BR"/>
        </w:rPr>
        <w:t>KiB</w:t>
      </w:r>
      <w:proofErr w:type="spellEnd"/>
      <w:r>
        <w:rPr>
          <w:lang w:val="pt-BR"/>
        </w:rPr>
        <w:t xml:space="preserve"> de Flash e não consegue rodar uma pilha IP segura, por isso depende de um gateway. A Classe 1 tem cerca de 10 </w:t>
      </w:r>
      <w:proofErr w:type="spellStart"/>
      <w:r>
        <w:rPr>
          <w:lang w:val="pt-BR"/>
        </w:rPr>
        <w:t>KiB</w:t>
      </w:r>
      <w:proofErr w:type="spellEnd"/>
      <w:r>
        <w:rPr>
          <w:lang w:val="pt-BR"/>
        </w:rPr>
        <w:t xml:space="preserve"> de RAM e 100 </w:t>
      </w:r>
      <w:proofErr w:type="spellStart"/>
      <w:r>
        <w:rPr>
          <w:lang w:val="pt-BR"/>
        </w:rPr>
        <w:t>KiB</w:t>
      </w:r>
      <w:proofErr w:type="spellEnd"/>
      <w:r>
        <w:rPr>
          <w:lang w:val="pt-BR"/>
        </w:rPr>
        <w:t xml:space="preserve"> de Flash e já roda protocolos feitos para esse cenário, como o </w:t>
      </w:r>
      <w:proofErr w:type="spellStart"/>
      <w:r>
        <w:rPr>
          <w:lang w:val="pt-BR"/>
        </w:rPr>
        <w:t>CoAP</w:t>
      </w:r>
      <w:proofErr w:type="spellEnd"/>
      <w:r>
        <w:rPr>
          <w:lang w:val="pt-BR"/>
        </w:rPr>
        <w:t xml:space="preserve"> sobre UDP, mas não o HTTP com TLS. A Classe 2 tem cerca de 50 </w:t>
      </w:r>
      <w:proofErr w:type="spellStart"/>
      <w:r>
        <w:rPr>
          <w:lang w:val="pt-BR"/>
        </w:rPr>
        <w:t>KiB</w:t>
      </w:r>
      <w:proofErr w:type="spellEnd"/>
      <w:r>
        <w:rPr>
          <w:lang w:val="pt-BR"/>
        </w:rPr>
        <w:t xml:space="preserve"> de RAM e 250 </w:t>
      </w:r>
      <w:proofErr w:type="spellStart"/>
      <w:r>
        <w:rPr>
          <w:lang w:val="pt-BR"/>
        </w:rPr>
        <w:t>KiB</w:t>
      </w:r>
      <w:proofErr w:type="spellEnd"/>
      <w:r>
        <w:rPr>
          <w:lang w:val="pt-BR"/>
        </w:rPr>
        <w:t xml:space="preserve"> de Flash e suporta quase a mesma pilha de um computador comum. A Tabela 1 resume os dispositivos sugeridos para a fazenda.</w:t>
      </w:r>
    </w:p>
    <w:p w14:paraId="7EA52479" w14:textId="77777777" w:rsidR="006E36CB" w:rsidRDefault="00000000">
      <w:pPr>
        <w:spacing w:before="240" w:after="120"/>
        <w:jc w:val="center"/>
        <w:rPr>
          <w:lang w:val="pt-BR"/>
        </w:rPr>
      </w:pPr>
      <w:r>
        <w:rPr>
          <w:b/>
          <w:bCs/>
          <w:sz w:val="20"/>
          <w:szCs w:val="20"/>
          <w:lang w:val="pt-BR"/>
        </w:rPr>
        <w:t>Tabela 1. Dispositivos propostos e classificação segundo a RFC 7228</w:t>
      </w:r>
    </w:p>
    <w:tbl>
      <w:tblPr>
        <w:tblW w:w="85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200"/>
        <w:gridCol w:w="700"/>
        <w:gridCol w:w="1900"/>
        <w:gridCol w:w="1703"/>
      </w:tblGrid>
      <w:tr w:rsidR="006E36CB" w14:paraId="51505FC9" w14:textId="77777777">
        <w:trPr>
          <w:cantSplit/>
          <w:tblHeader/>
          <w:jc w:val="center"/>
        </w:trPr>
        <w:tc>
          <w:tcPr>
            <w:tcW w:w="4200" w:type="dxa"/>
            <w:shd w:val="clear" w:color="auto" w:fill="E7E6E6"/>
            <w:vAlign w:val="center"/>
          </w:tcPr>
          <w:p w14:paraId="20752899" w14:textId="77777777" w:rsidR="006E36CB" w:rsidRDefault="00000000">
            <w:pPr>
              <w:spacing w:before="40" w:after="40"/>
              <w:rPr>
                <w:lang w:val="pt-BR"/>
              </w:rPr>
            </w:pPr>
            <w:r>
              <w:rPr>
                <w:b/>
                <w:bCs/>
                <w:sz w:val="20"/>
                <w:szCs w:val="20"/>
                <w:lang w:val="pt-BR"/>
              </w:rPr>
              <w:t>Dispositivo</w:t>
            </w:r>
          </w:p>
        </w:tc>
        <w:tc>
          <w:tcPr>
            <w:tcW w:w="700" w:type="dxa"/>
            <w:shd w:val="clear" w:color="auto" w:fill="E7E6E6"/>
            <w:vAlign w:val="center"/>
          </w:tcPr>
          <w:p w14:paraId="49A34C20" w14:textId="77777777" w:rsidR="006E36CB" w:rsidRDefault="00000000">
            <w:pPr>
              <w:spacing w:before="40" w:after="40"/>
              <w:jc w:val="center"/>
              <w:rPr>
                <w:lang w:val="pt-BR"/>
              </w:rPr>
            </w:pPr>
            <w:r>
              <w:rPr>
                <w:b/>
                <w:bCs/>
                <w:sz w:val="20"/>
                <w:szCs w:val="20"/>
                <w:lang w:val="pt-BR"/>
              </w:rPr>
              <w:t>Área</w:t>
            </w:r>
          </w:p>
        </w:tc>
        <w:tc>
          <w:tcPr>
            <w:tcW w:w="1900" w:type="dxa"/>
            <w:shd w:val="clear" w:color="auto" w:fill="E7E6E6"/>
            <w:vAlign w:val="center"/>
          </w:tcPr>
          <w:p w14:paraId="18AC3999" w14:textId="77777777" w:rsidR="006E36CB" w:rsidRDefault="00000000">
            <w:pPr>
              <w:spacing w:before="40" w:after="40"/>
              <w:jc w:val="center"/>
              <w:rPr>
                <w:lang w:val="pt-BR"/>
              </w:rPr>
            </w:pPr>
            <w:r>
              <w:rPr>
                <w:b/>
                <w:bCs/>
                <w:sz w:val="20"/>
                <w:szCs w:val="20"/>
                <w:lang w:val="pt-BR"/>
              </w:rPr>
              <w:t>Alimentação</w:t>
            </w:r>
          </w:p>
        </w:tc>
        <w:tc>
          <w:tcPr>
            <w:tcW w:w="1703" w:type="dxa"/>
            <w:shd w:val="clear" w:color="auto" w:fill="E7E6E6"/>
            <w:vAlign w:val="center"/>
          </w:tcPr>
          <w:p w14:paraId="222A717C" w14:textId="77777777" w:rsidR="006E36CB" w:rsidRDefault="00000000">
            <w:pPr>
              <w:spacing w:before="40" w:after="40"/>
              <w:jc w:val="center"/>
              <w:rPr>
                <w:lang w:val="pt-BR"/>
              </w:rPr>
            </w:pPr>
            <w:r>
              <w:rPr>
                <w:b/>
                <w:bCs/>
                <w:sz w:val="20"/>
                <w:szCs w:val="20"/>
                <w:lang w:val="pt-BR"/>
              </w:rPr>
              <w:t>Classe</w:t>
            </w:r>
          </w:p>
        </w:tc>
      </w:tr>
      <w:tr w:rsidR="006E36CB" w14:paraId="095A381E" w14:textId="77777777">
        <w:trPr>
          <w:cantSplit/>
          <w:jc w:val="center"/>
        </w:trPr>
        <w:tc>
          <w:tcPr>
            <w:tcW w:w="4200" w:type="dxa"/>
            <w:vAlign w:val="center"/>
          </w:tcPr>
          <w:p w14:paraId="137795A3" w14:textId="77777777" w:rsidR="006E36CB" w:rsidRDefault="00000000">
            <w:pPr>
              <w:spacing w:before="40" w:after="40"/>
              <w:rPr>
                <w:lang w:val="pt-BR"/>
              </w:rPr>
            </w:pPr>
            <w:r>
              <w:rPr>
                <w:sz w:val="20"/>
                <w:szCs w:val="20"/>
                <w:lang w:val="pt-BR"/>
              </w:rPr>
              <w:t xml:space="preserve">Nó sensor de umidade e temperatura do solo (microcontrolador de baixo consumo, ex.: MSP430, com rádio </w:t>
            </w:r>
            <w:proofErr w:type="spellStart"/>
            <w:r>
              <w:rPr>
                <w:sz w:val="20"/>
                <w:szCs w:val="20"/>
                <w:lang w:val="pt-BR"/>
              </w:rPr>
              <w:t>LoRa</w:t>
            </w:r>
            <w:proofErr w:type="spellEnd"/>
            <w:r>
              <w:rPr>
                <w:sz w:val="20"/>
                <w:szCs w:val="20"/>
                <w:lang w:val="pt-BR"/>
              </w:rPr>
              <w:t xml:space="preserve"> ou IEEE 802.15.4)</w:t>
            </w:r>
          </w:p>
        </w:tc>
        <w:tc>
          <w:tcPr>
            <w:tcW w:w="700" w:type="dxa"/>
            <w:vAlign w:val="center"/>
          </w:tcPr>
          <w:p w14:paraId="6DB44C1A" w14:textId="77777777" w:rsidR="006E36CB" w:rsidRDefault="00000000">
            <w:pPr>
              <w:spacing w:before="40" w:after="40"/>
              <w:jc w:val="center"/>
              <w:rPr>
                <w:lang w:val="pt-BR"/>
              </w:rPr>
            </w:pPr>
            <w:r>
              <w:rPr>
                <w:sz w:val="20"/>
                <w:szCs w:val="20"/>
                <w:lang w:val="pt-BR"/>
              </w:rPr>
              <w:t>1</w:t>
            </w:r>
          </w:p>
        </w:tc>
        <w:tc>
          <w:tcPr>
            <w:tcW w:w="1900" w:type="dxa"/>
            <w:vAlign w:val="center"/>
          </w:tcPr>
          <w:p w14:paraId="38D882FF" w14:textId="77777777" w:rsidR="006E36CB" w:rsidRDefault="00000000">
            <w:pPr>
              <w:spacing w:before="40" w:after="40"/>
              <w:jc w:val="center"/>
              <w:rPr>
                <w:lang w:val="pt-BR"/>
              </w:rPr>
            </w:pPr>
            <w:r>
              <w:rPr>
                <w:sz w:val="20"/>
                <w:szCs w:val="20"/>
                <w:lang w:val="pt-BR"/>
              </w:rPr>
              <w:t>Bateria com painel solar</w:t>
            </w:r>
          </w:p>
        </w:tc>
        <w:tc>
          <w:tcPr>
            <w:tcW w:w="1703" w:type="dxa"/>
            <w:vAlign w:val="center"/>
          </w:tcPr>
          <w:p w14:paraId="65264CB9" w14:textId="77777777" w:rsidR="006E36CB" w:rsidRDefault="00000000">
            <w:pPr>
              <w:spacing w:before="40" w:after="40"/>
              <w:jc w:val="center"/>
              <w:rPr>
                <w:lang w:val="pt-BR"/>
              </w:rPr>
            </w:pPr>
            <w:r>
              <w:rPr>
                <w:sz w:val="20"/>
                <w:szCs w:val="20"/>
                <w:lang w:val="pt-BR"/>
              </w:rPr>
              <w:t>Classe 1</w:t>
            </w:r>
          </w:p>
        </w:tc>
      </w:tr>
      <w:tr w:rsidR="006E36CB" w14:paraId="7EE3F2CA" w14:textId="77777777">
        <w:trPr>
          <w:cantSplit/>
          <w:jc w:val="center"/>
        </w:trPr>
        <w:tc>
          <w:tcPr>
            <w:tcW w:w="4200" w:type="dxa"/>
            <w:vAlign w:val="center"/>
          </w:tcPr>
          <w:p w14:paraId="65278161" w14:textId="77777777" w:rsidR="006E36CB" w:rsidRDefault="00000000">
            <w:pPr>
              <w:spacing w:before="40" w:after="40"/>
              <w:rPr>
                <w:lang w:val="pt-BR"/>
              </w:rPr>
            </w:pPr>
            <w:r>
              <w:rPr>
                <w:sz w:val="20"/>
                <w:szCs w:val="20"/>
                <w:lang w:val="pt-BR"/>
              </w:rPr>
              <w:t>Sensor simples de pulso ou leitura analógica (ex.: pluviômetro) ligado a um nó vizinho</w:t>
            </w:r>
          </w:p>
        </w:tc>
        <w:tc>
          <w:tcPr>
            <w:tcW w:w="700" w:type="dxa"/>
            <w:vAlign w:val="center"/>
          </w:tcPr>
          <w:p w14:paraId="379B6611" w14:textId="77777777" w:rsidR="006E36CB" w:rsidRDefault="00000000">
            <w:pPr>
              <w:spacing w:before="40" w:after="40"/>
              <w:jc w:val="center"/>
              <w:rPr>
                <w:lang w:val="pt-BR"/>
              </w:rPr>
            </w:pPr>
            <w:r>
              <w:rPr>
                <w:sz w:val="20"/>
                <w:szCs w:val="20"/>
                <w:lang w:val="pt-BR"/>
              </w:rPr>
              <w:t>1</w:t>
            </w:r>
          </w:p>
        </w:tc>
        <w:tc>
          <w:tcPr>
            <w:tcW w:w="1900" w:type="dxa"/>
            <w:vAlign w:val="center"/>
          </w:tcPr>
          <w:p w14:paraId="5FA76F5E" w14:textId="77777777" w:rsidR="006E36CB" w:rsidRDefault="00000000">
            <w:pPr>
              <w:spacing w:before="40" w:after="40"/>
              <w:jc w:val="center"/>
              <w:rPr>
                <w:lang w:val="pt-BR"/>
              </w:rPr>
            </w:pPr>
            <w:r>
              <w:rPr>
                <w:sz w:val="20"/>
                <w:szCs w:val="20"/>
                <w:lang w:val="pt-BR"/>
              </w:rPr>
              <w:t>Bateria</w:t>
            </w:r>
          </w:p>
        </w:tc>
        <w:tc>
          <w:tcPr>
            <w:tcW w:w="1703" w:type="dxa"/>
            <w:vAlign w:val="center"/>
          </w:tcPr>
          <w:p w14:paraId="35685725" w14:textId="77777777" w:rsidR="006E36CB" w:rsidRDefault="00000000">
            <w:pPr>
              <w:spacing w:before="40" w:after="40"/>
              <w:jc w:val="center"/>
              <w:rPr>
                <w:lang w:val="pt-BR"/>
              </w:rPr>
            </w:pPr>
            <w:r>
              <w:rPr>
                <w:sz w:val="20"/>
                <w:szCs w:val="20"/>
                <w:lang w:val="pt-BR"/>
              </w:rPr>
              <w:t>Classe 0</w:t>
            </w:r>
          </w:p>
        </w:tc>
      </w:tr>
      <w:tr w:rsidR="006E36CB" w14:paraId="5E46ACE8" w14:textId="77777777">
        <w:trPr>
          <w:cantSplit/>
          <w:jc w:val="center"/>
        </w:trPr>
        <w:tc>
          <w:tcPr>
            <w:tcW w:w="4200" w:type="dxa"/>
            <w:vAlign w:val="center"/>
          </w:tcPr>
          <w:p w14:paraId="09E6331C" w14:textId="77777777" w:rsidR="006E36CB" w:rsidRDefault="00000000">
            <w:pPr>
              <w:spacing w:before="40" w:after="40"/>
              <w:rPr>
                <w:lang w:val="pt-BR"/>
              </w:rPr>
            </w:pPr>
            <w:r>
              <w:rPr>
                <w:sz w:val="20"/>
                <w:szCs w:val="20"/>
                <w:lang w:val="pt-BR"/>
              </w:rPr>
              <w:lastRenderedPageBreak/>
              <w:t xml:space="preserve">Estação meteorológica compacta com </w:t>
            </w:r>
            <w:proofErr w:type="spellStart"/>
            <w:r>
              <w:rPr>
                <w:sz w:val="20"/>
                <w:szCs w:val="20"/>
                <w:lang w:val="pt-BR"/>
              </w:rPr>
              <w:t>piranômetro</w:t>
            </w:r>
            <w:proofErr w:type="spellEnd"/>
            <w:r>
              <w:rPr>
                <w:sz w:val="20"/>
                <w:szCs w:val="20"/>
                <w:lang w:val="pt-BR"/>
              </w:rPr>
              <w:t xml:space="preserve"> para radiação solar (ARM </w:t>
            </w:r>
            <w:proofErr w:type="spellStart"/>
            <w:r>
              <w:rPr>
                <w:sz w:val="20"/>
                <w:szCs w:val="20"/>
                <w:lang w:val="pt-BR"/>
              </w:rPr>
              <w:t>Cortex</w:t>
            </w:r>
            <w:proofErr w:type="spellEnd"/>
            <w:r>
              <w:rPr>
                <w:sz w:val="20"/>
                <w:szCs w:val="20"/>
                <w:lang w:val="pt-BR"/>
              </w:rPr>
              <w:t xml:space="preserve">-M, ex.: STM32 com 64 </w:t>
            </w:r>
            <w:proofErr w:type="spellStart"/>
            <w:r>
              <w:rPr>
                <w:sz w:val="20"/>
                <w:szCs w:val="20"/>
                <w:lang w:val="pt-BR"/>
              </w:rPr>
              <w:t>KiB</w:t>
            </w:r>
            <w:proofErr w:type="spellEnd"/>
            <w:r>
              <w:rPr>
                <w:sz w:val="20"/>
                <w:szCs w:val="20"/>
                <w:lang w:val="pt-BR"/>
              </w:rPr>
              <w:t xml:space="preserve"> de RAM)</w:t>
            </w:r>
          </w:p>
        </w:tc>
        <w:tc>
          <w:tcPr>
            <w:tcW w:w="700" w:type="dxa"/>
            <w:vAlign w:val="center"/>
          </w:tcPr>
          <w:p w14:paraId="5F43793C" w14:textId="77777777" w:rsidR="006E36CB" w:rsidRDefault="00000000">
            <w:pPr>
              <w:spacing w:before="40" w:after="40"/>
              <w:jc w:val="center"/>
              <w:rPr>
                <w:lang w:val="pt-BR"/>
              </w:rPr>
            </w:pPr>
            <w:r>
              <w:rPr>
                <w:sz w:val="20"/>
                <w:szCs w:val="20"/>
                <w:lang w:val="pt-BR"/>
              </w:rPr>
              <w:t>1</w:t>
            </w:r>
          </w:p>
        </w:tc>
        <w:tc>
          <w:tcPr>
            <w:tcW w:w="1900" w:type="dxa"/>
            <w:vAlign w:val="center"/>
          </w:tcPr>
          <w:p w14:paraId="3A8ED840" w14:textId="77777777" w:rsidR="006E36CB" w:rsidRDefault="00000000">
            <w:pPr>
              <w:spacing w:before="40" w:after="40"/>
              <w:jc w:val="center"/>
              <w:rPr>
                <w:lang w:val="pt-BR"/>
              </w:rPr>
            </w:pPr>
            <w:r>
              <w:rPr>
                <w:sz w:val="20"/>
                <w:szCs w:val="20"/>
                <w:lang w:val="pt-BR"/>
              </w:rPr>
              <w:t>Painel solar</w:t>
            </w:r>
          </w:p>
        </w:tc>
        <w:tc>
          <w:tcPr>
            <w:tcW w:w="1703" w:type="dxa"/>
            <w:vAlign w:val="center"/>
          </w:tcPr>
          <w:p w14:paraId="150AE6D8" w14:textId="77777777" w:rsidR="006E36CB" w:rsidRDefault="00000000">
            <w:pPr>
              <w:spacing w:before="40" w:after="40"/>
              <w:jc w:val="center"/>
              <w:rPr>
                <w:lang w:val="pt-BR"/>
              </w:rPr>
            </w:pPr>
            <w:r>
              <w:rPr>
                <w:sz w:val="20"/>
                <w:szCs w:val="20"/>
                <w:lang w:val="pt-BR"/>
              </w:rPr>
              <w:t>Classe 2</w:t>
            </w:r>
          </w:p>
        </w:tc>
      </w:tr>
      <w:tr w:rsidR="006E36CB" w14:paraId="17CAF6DC" w14:textId="77777777">
        <w:trPr>
          <w:cantSplit/>
          <w:jc w:val="center"/>
        </w:trPr>
        <w:tc>
          <w:tcPr>
            <w:tcW w:w="4200" w:type="dxa"/>
            <w:vAlign w:val="center"/>
          </w:tcPr>
          <w:p w14:paraId="58642236" w14:textId="77777777" w:rsidR="006E36CB" w:rsidRDefault="00000000">
            <w:pPr>
              <w:spacing w:before="40" w:after="40"/>
              <w:rPr>
                <w:lang w:val="pt-BR"/>
              </w:rPr>
            </w:pPr>
            <w:r>
              <w:rPr>
                <w:sz w:val="20"/>
                <w:szCs w:val="20"/>
                <w:lang w:val="pt-BR"/>
              </w:rPr>
              <w:t>Controlador de válvulas e bombas nos pivôs (CLP ou módulo ESP32 com relés)</w:t>
            </w:r>
          </w:p>
        </w:tc>
        <w:tc>
          <w:tcPr>
            <w:tcW w:w="700" w:type="dxa"/>
            <w:vAlign w:val="center"/>
          </w:tcPr>
          <w:p w14:paraId="14815AF8" w14:textId="77777777" w:rsidR="006E36CB" w:rsidRDefault="00000000">
            <w:pPr>
              <w:spacing w:before="40" w:after="40"/>
              <w:jc w:val="center"/>
              <w:rPr>
                <w:lang w:val="pt-BR"/>
              </w:rPr>
            </w:pPr>
            <w:r>
              <w:rPr>
                <w:sz w:val="20"/>
                <w:szCs w:val="20"/>
                <w:lang w:val="pt-BR"/>
              </w:rPr>
              <w:t>2</w:t>
            </w:r>
          </w:p>
        </w:tc>
        <w:tc>
          <w:tcPr>
            <w:tcW w:w="1900" w:type="dxa"/>
            <w:vAlign w:val="center"/>
          </w:tcPr>
          <w:p w14:paraId="418B9E68" w14:textId="77777777" w:rsidR="006E36CB" w:rsidRDefault="00000000">
            <w:pPr>
              <w:spacing w:before="40" w:after="40"/>
              <w:jc w:val="center"/>
              <w:rPr>
                <w:lang w:val="pt-BR"/>
              </w:rPr>
            </w:pPr>
            <w:r>
              <w:rPr>
                <w:sz w:val="20"/>
                <w:szCs w:val="20"/>
                <w:lang w:val="pt-BR"/>
              </w:rPr>
              <w:t>Rede elétrica</w:t>
            </w:r>
          </w:p>
        </w:tc>
        <w:tc>
          <w:tcPr>
            <w:tcW w:w="1703" w:type="dxa"/>
            <w:vAlign w:val="center"/>
          </w:tcPr>
          <w:p w14:paraId="2448CC1B" w14:textId="77777777" w:rsidR="006E36CB" w:rsidRDefault="00000000">
            <w:pPr>
              <w:spacing w:before="40" w:after="40"/>
              <w:jc w:val="center"/>
              <w:rPr>
                <w:lang w:val="pt-BR"/>
              </w:rPr>
            </w:pPr>
            <w:r>
              <w:rPr>
                <w:sz w:val="20"/>
                <w:szCs w:val="20"/>
                <w:lang w:val="pt-BR"/>
              </w:rPr>
              <w:t>Classe 2 ou acima</w:t>
            </w:r>
          </w:p>
        </w:tc>
      </w:tr>
      <w:tr w:rsidR="006E36CB" w14:paraId="04D0C129" w14:textId="77777777">
        <w:trPr>
          <w:cantSplit/>
          <w:jc w:val="center"/>
        </w:trPr>
        <w:tc>
          <w:tcPr>
            <w:tcW w:w="4200" w:type="dxa"/>
            <w:vAlign w:val="center"/>
          </w:tcPr>
          <w:p w14:paraId="606D2199" w14:textId="77777777" w:rsidR="006E36CB" w:rsidRDefault="00000000">
            <w:pPr>
              <w:spacing w:before="40" w:after="40"/>
              <w:rPr>
                <w:lang w:val="pt-BR"/>
              </w:rPr>
            </w:pPr>
            <w:r>
              <w:rPr>
                <w:sz w:val="20"/>
                <w:szCs w:val="20"/>
                <w:lang w:val="pt-BR"/>
              </w:rPr>
              <w:t>Computador de bordo das máquinas, tablets e smartphones dos gerentes</w:t>
            </w:r>
          </w:p>
        </w:tc>
        <w:tc>
          <w:tcPr>
            <w:tcW w:w="700" w:type="dxa"/>
            <w:vAlign w:val="center"/>
          </w:tcPr>
          <w:p w14:paraId="55AED5F4" w14:textId="77777777" w:rsidR="006E36CB" w:rsidRDefault="00000000">
            <w:pPr>
              <w:spacing w:before="40" w:after="40"/>
              <w:jc w:val="center"/>
              <w:rPr>
                <w:lang w:val="pt-BR"/>
              </w:rPr>
            </w:pPr>
            <w:r>
              <w:rPr>
                <w:sz w:val="20"/>
                <w:szCs w:val="20"/>
                <w:lang w:val="pt-BR"/>
              </w:rPr>
              <w:t>3</w:t>
            </w:r>
          </w:p>
        </w:tc>
        <w:tc>
          <w:tcPr>
            <w:tcW w:w="1900" w:type="dxa"/>
            <w:vAlign w:val="center"/>
          </w:tcPr>
          <w:p w14:paraId="2F52D6A5" w14:textId="77777777" w:rsidR="006E36CB" w:rsidRDefault="00000000">
            <w:pPr>
              <w:spacing w:before="40" w:after="40"/>
              <w:jc w:val="center"/>
              <w:rPr>
                <w:lang w:val="pt-BR"/>
              </w:rPr>
            </w:pPr>
            <w:r>
              <w:rPr>
                <w:sz w:val="20"/>
                <w:szCs w:val="20"/>
                <w:lang w:val="pt-BR"/>
              </w:rPr>
              <w:t>Bateria recarregável / veículo</w:t>
            </w:r>
          </w:p>
        </w:tc>
        <w:tc>
          <w:tcPr>
            <w:tcW w:w="1703" w:type="dxa"/>
            <w:vAlign w:val="center"/>
          </w:tcPr>
          <w:p w14:paraId="18014C17" w14:textId="77777777" w:rsidR="006E36CB" w:rsidRDefault="00000000">
            <w:pPr>
              <w:spacing w:before="40" w:after="40"/>
              <w:jc w:val="center"/>
              <w:rPr>
                <w:lang w:val="pt-BR"/>
              </w:rPr>
            </w:pPr>
            <w:r>
              <w:rPr>
                <w:sz w:val="20"/>
                <w:szCs w:val="20"/>
                <w:lang w:val="pt-BR"/>
              </w:rPr>
              <w:t>Sem restrição</w:t>
            </w:r>
          </w:p>
        </w:tc>
      </w:tr>
      <w:tr w:rsidR="006E36CB" w14:paraId="69257909" w14:textId="77777777">
        <w:trPr>
          <w:cantSplit/>
          <w:jc w:val="center"/>
        </w:trPr>
        <w:tc>
          <w:tcPr>
            <w:tcW w:w="4200" w:type="dxa"/>
            <w:vAlign w:val="center"/>
          </w:tcPr>
          <w:p w14:paraId="578EFB37" w14:textId="77777777" w:rsidR="006E36CB" w:rsidRDefault="00000000">
            <w:pPr>
              <w:spacing w:before="40" w:after="40"/>
              <w:rPr>
                <w:lang w:val="pt-BR"/>
              </w:rPr>
            </w:pPr>
            <w:r>
              <w:rPr>
                <w:sz w:val="20"/>
                <w:szCs w:val="20"/>
                <w:lang w:val="pt-BR"/>
              </w:rPr>
              <w:t xml:space="preserve">Gateway de borda na sede (ex.: </w:t>
            </w:r>
            <w:proofErr w:type="spellStart"/>
            <w:r>
              <w:rPr>
                <w:sz w:val="20"/>
                <w:szCs w:val="20"/>
                <w:lang w:val="pt-BR"/>
              </w:rPr>
              <w:t>Raspberry</w:t>
            </w:r>
            <w:proofErr w:type="spellEnd"/>
            <w:r>
              <w:rPr>
                <w:sz w:val="20"/>
                <w:szCs w:val="20"/>
                <w:lang w:val="pt-BR"/>
              </w:rPr>
              <w:t xml:space="preserve"> Pi com concentrador </w:t>
            </w:r>
            <w:proofErr w:type="spellStart"/>
            <w:r>
              <w:rPr>
                <w:sz w:val="20"/>
                <w:szCs w:val="20"/>
                <w:lang w:val="pt-BR"/>
              </w:rPr>
              <w:t>LoRaWAN</w:t>
            </w:r>
            <w:proofErr w:type="spellEnd"/>
            <w:r>
              <w:rPr>
                <w:sz w:val="20"/>
                <w:szCs w:val="20"/>
                <w:lang w:val="pt-BR"/>
              </w:rPr>
              <w:t>)</w:t>
            </w:r>
          </w:p>
        </w:tc>
        <w:tc>
          <w:tcPr>
            <w:tcW w:w="700" w:type="dxa"/>
            <w:vAlign w:val="center"/>
          </w:tcPr>
          <w:p w14:paraId="23484519" w14:textId="77777777" w:rsidR="006E36CB" w:rsidRDefault="00000000">
            <w:pPr>
              <w:spacing w:before="40" w:after="40"/>
              <w:jc w:val="center"/>
              <w:rPr>
                <w:lang w:val="pt-BR"/>
              </w:rPr>
            </w:pPr>
            <w:r>
              <w:rPr>
                <w:sz w:val="20"/>
                <w:szCs w:val="20"/>
                <w:lang w:val="pt-BR"/>
              </w:rPr>
              <w:t>Todas</w:t>
            </w:r>
          </w:p>
        </w:tc>
        <w:tc>
          <w:tcPr>
            <w:tcW w:w="1900" w:type="dxa"/>
            <w:vAlign w:val="center"/>
          </w:tcPr>
          <w:p w14:paraId="268F9AF0" w14:textId="77777777" w:rsidR="006E36CB" w:rsidRDefault="00000000">
            <w:pPr>
              <w:spacing w:before="40" w:after="40"/>
              <w:jc w:val="center"/>
              <w:rPr>
                <w:lang w:val="pt-BR"/>
              </w:rPr>
            </w:pPr>
            <w:r>
              <w:rPr>
                <w:sz w:val="20"/>
                <w:szCs w:val="20"/>
                <w:lang w:val="pt-BR"/>
              </w:rPr>
              <w:t>Rede elétrica</w:t>
            </w:r>
          </w:p>
        </w:tc>
        <w:tc>
          <w:tcPr>
            <w:tcW w:w="1703" w:type="dxa"/>
            <w:vAlign w:val="center"/>
          </w:tcPr>
          <w:p w14:paraId="6E37AE45" w14:textId="77777777" w:rsidR="006E36CB" w:rsidRDefault="00000000">
            <w:pPr>
              <w:spacing w:before="40" w:after="40"/>
              <w:jc w:val="center"/>
              <w:rPr>
                <w:lang w:val="pt-BR"/>
              </w:rPr>
            </w:pPr>
            <w:r>
              <w:rPr>
                <w:sz w:val="20"/>
                <w:szCs w:val="20"/>
                <w:lang w:val="pt-BR"/>
              </w:rPr>
              <w:t>Sem restrição</w:t>
            </w:r>
          </w:p>
        </w:tc>
      </w:tr>
    </w:tbl>
    <w:p w14:paraId="5DA144BB" w14:textId="77777777" w:rsidR="006E36CB" w:rsidRDefault="00000000">
      <w:pPr>
        <w:spacing w:before="120"/>
        <w:jc w:val="both"/>
        <w:rPr>
          <w:lang w:val="pt-BR"/>
        </w:rPr>
      </w:pPr>
      <w:r>
        <w:rPr>
          <w:lang w:val="pt-BR"/>
        </w:rPr>
        <w:t xml:space="preserve">Os dispositivos de campo da área 1 ficam nas Classes 1 e 2. Eles funcionam à bateria em pontos distantes da sede, então precisam passar a maior parte do tempo em suspensão profunda, com sistemas operacionais como </w:t>
      </w:r>
      <w:proofErr w:type="spellStart"/>
      <w:r>
        <w:rPr>
          <w:lang w:val="pt-BR"/>
        </w:rPr>
        <w:t>Contiki</w:t>
      </w:r>
      <w:proofErr w:type="spellEnd"/>
      <w:r>
        <w:rPr>
          <w:lang w:val="pt-BR"/>
        </w:rPr>
        <w:t xml:space="preserve"> ou RIOT, e aceitar atualização remota (OTA) para não exigir visita ao talhão [Oliveira 2026]. A Classe 0 aparece só em sensores muito simples que repassam a leitura a outro nó. Os controladores da área 2 estão ligados à rede elétrica, então energia não é problema, e podem ser Classe 2 ou até dispositivos sem restrição. Os equipamentos da área 3 são comuns e ficam fora das classes restritas.</w:t>
      </w:r>
    </w:p>
    <w:p w14:paraId="0ED69A72" w14:textId="77777777" w:rsidR="006E36CB" w:rsidRDefault="00000000">
      <w:pPr>
        <w:spacing w:before="250" w:after="40"/>
        <w:outlineLvl w:val="0"/>
        <w:rPr>
          <w:lang w:val="pt-BR"/>
        </w:rPr>
      </w:pPr>
      <w:r>
        <w:rPr>
          <w:b/>
          <w:bCs/>
          <w:sz w:val="26"/>
          <w:szCs w:val="26"/>
          <w:lang w:val="pt-BR"/>
        </w:rPr>
        <w:t>3. Protocolos de aplicação</w:t>
      </w:r>
    </w:p>
    <w:p w14:paraId="59EFB917" w14:textId="77777777" w:rsidR="006E36CB" w:rsidRDefault="00000000">
      <w:pPr>
        <w:spacing w:before="200" w:after="40"/>
        <w:outlineLvl w:val="1"/>
        <w:rPr>
          <w:lang w:val="pt-BR"/>
        </w:rPr>
      </w:pPr>
      <w:r>
        <w:rPr>
          <w:b/>
          <w:bCs/>
          <w:lang w:val="pt-BR"/>
        </w:rPr>
        <w:t xml:space="preserve">3.1. Monitoramento de solo e clima: </w:t>
      </w:r>
      <w:proofErr w:type="spellStart"/>
      <w:r>
        <w:rPr>
          <w:b/>
          <w:bCs/>
          <w:lang w:val="pt-BR"/>
        </w:rPr>
        <w:t>CoAP</w:t>
      </w:r>
      <w:proofErr w:type="spellEnd"/>
    </w:p>
    <w:p w14:paraId="5C9C919A" w14:textId="77777777" w:rsidR="006E36CB" w:rsidRDefault="00000000">
      <w:pPr>
        <w:spacing w:before="120"/>
        <w:jc w:val="both"/>
        <w:rPr>
          <w:lang w:val="pt-BR"/>
        </w:rPr>
      </w:pPr>
      <w:r>
        <w:rPr>
          <w:lang w:val="pt-BR"/>
        </w:rPr>
        <w:t xml:space="preserve">O </w:t>
      </w:r>
      <w:proofErr w:type="spellStart"/>
      <w:r>
        <w:rPr>
          <w:lang w:val="pt-BR"/>
        </w:rPr>
        <w:t>CoAP</w:t>
      </w:r>
      <w:proofErr w:type="spellEnd"/>
      <w:r>
        <w:rPr>
          <w:lang w:val="pt-BR"/>
        </w:rPr>
        <w:t xml:space="preserve"> é o mais indicado para os sensores de campo. Ele roda sobre UDP, com cabeçalho binário de 4 bytes e sem o </w:t>
      </w:r>
      <w:proofErr w:type="spellStart"/>
      <w:r>
        <w:rPr>
          <w:lang w:val="pt-BR"/>
        </w:rPr>
        <w:t>handshake</w:t>
      </w:r>
      <w:proofErr w:type="spellEnd"/>
      <w:r>
        <w:rPr>
          <w:lang w:val="pt-BR"/>
        </w:rPr>
        <w:t xml:space="preserve"> do TCP, o que economiza energia e evita fragmentação em redes de MTU pequeno como o IEEE 802.15.4 [Shelby et al. 2014]. As leituras periódicas podem usar mensagens Non-</w:t>
      </w:r>
      <w:proofErr w:type="spellStart"/>
      <w:r>
        <w:rPr>
          <w:lang w:val="pt-BR"/>
        </w:rPr>
        <w:t>confirmable</w:t>
      </w:r>
      <w:proofErr w:type="spellEnd"/>
      <w:r>
        <w:rPr>
          <w:lang w:val="pt-BR"/>
        </w:rPr>
        <w:t xml:space="preserve">, porque perder uma leitura isolada não compromete o monitoramento, e os alertas (solo seco demais, por exemplo) podem usar mensagens </w:t>
      </w:r>
      <w:proofErr w:type="spellStart"/>
      <w:r>
        <w:rPr>
          <w:lang w:val="pt-BR"/>
        </w:rPr>
        <w:t>Confirmable</w:t>
      </w:r>
      <w:proofErr w:type="spellEnd"/>
      <w:r>
        <w:rPr>
          <w:lang w:val="pt-BR"/>
        </w:rPr>
        <w:t xml:space="preserve">, que exigem ACK. Com a </w:t>
      </w:r>
      <w:proofErr w:type="gramStart"/>
      <w:r>
        <w:rPr>
          <w:lang w:val="pt-BR"/>
        </w:rPr>
        <w:t>opção Observe</w:t>
      </w:r>
      <w:proofErr w:type="gramEnd"/>
      <w:r>
        <w:rPr>
          <w:lang w:val="pt-BR"/>
        </w:rPr>
        <w:t xml:space="preserve">, o gateway se inscreve no recurso e só recebe dados quando o valor muda, sem precisar fazer </w:t>
      </w:r>
      <w:proofErr w:type="spellStart"/>
      <w:r>
        <w:rPr>
          <w:lang w:val="pt-BR"/>
        </w:rPr>
        <w:t>polling</w:t>
      </w:r>
      <w:proofErr w:type="spellEnd"/>
      <w:r>
        <w:rPr>
          <w:lang w:val="pt-BR"/>
        </w:rPr>
        <w:t xml:space="preserve"> [</w:t>
      </w:r>
      <w:proofErr w:type="spellStart"/>
      <w:r>
        <w:rPr>
          <w:lang w:val="pt-BR"/>
        </w:rPr>
        <w:t>Hartke</w:t>
      </w:r>
      <w:proofErr w:type="spellEnd"/>
      <w:r>
        <w:rPr>
          <w:lang w:val="pt-BR"/>
        </w:rPr>
        <w:t xml:space="preserve"> 2015]. A segurança fica com o DTLS e os dados podem ir em CBOR ou </w:t>
      </w:r>
      <w:proofErr w:type="spellStart"/>
      <w:r>
        <w:rPr>
          <w:lang w:val="pt-BR"/>
        </w:rPr>
        <w:t>SenML</w:t>
      </w:r>
      <w:proofErr w:type="spellEnd"/>
      <w:r>
        <w:rPr>
          <w:lang w:val="pt-BR"/>
        </w:rPr>
        <w:t>.</w:t>
      </w:r>
    </w:p>
    <w:p w14:paraId="7D8AB083" w14:textId="77777777" w:rsidR="006E36CB" w:rsidRDefault="00000000">
      <w:pPr>
        <w:spacing w:before="200" w:after="40"/>
        <w:outlineLvl w:val="1"/>
        <w:rPr>
          <w:lang w:val="pt-BR"/>
        </w:rPr>
      </w:pPr>
      <w:r>
        <w:rPr>
          <w:b/>
          <w:bCs/>
          <w:lang w:val="pt-BR"/>
        </w:rPr>
        <w:t>3.2. Automação de irrigação: MQTT</w:t>
      </w:r>
    </w:p>
    <w:p w14:paraId="4CA27D30" w14:textId="77777777" w:rsidR="006E36CB" w:rsidRDefault="00000000">
      <w:pPr>
        <w:spacing w:before="120"/>
        <w:jc w:val="both"/>
        <w:rPr>
          <w:lang w:val="pt-BR"/>
        </w:rPr>
      </w:pPr>
      <w:r>
        <w:rPr>
          <w:lang w:val="pt-BR"/>
        </w:rPr>
        <w:t xml:space="preserve">Para válvulas e bombas, a escolha é o MQTT. Como esses equipamentos estão na rede elétrica, manter uma conexão TCP aberta com o broker não é um problema. O modelo </w:t>
      </w:r>
      <w:proofErr w:type="spellStart"/>
      <w:r>
        <w:rPr>
          <w:lang w:val="pt-BR"/>
        </w:rPr>
        <w:t>publish</w:t>
      </w:r>
      <w:proofErr w:type="spellEnd"/>
      <w:r>
        <w:rPr>
          <w:lang w:val="pt-BR"/>
        </w:rPr>
        <w:t>/</w:t>
      </w:r>
      <w:proofErr w:type="spellStart"/>
      <w:r>
        <w:rPr>
          <w:lang w:val="pt-BR"/>
        </w:rPr>
        <w:t>subscribe</w:t>
      </w:r>
      <w:proofErr w:type="spellEnd"/>
      <w:r>
        <w:rPr>
          <w:lang w:val="pt-BR"/>
        </w:rPr>
        <w:t xml:space="preserve"> permite que o sistema de gestão ou uma regra automática publique um comando em um tópico (ex.: fazenda/pivo3/</w:t>
      </w:r>
      <w:proofErr w:type="spellStart"/>
      <w:r>
        <w:rPr>
          <w:lang w:val="pt-BR"/>
        </w:rPr>
        <w:t>valvula</w:t>
      </w:r>
      <w:proofErr w:type="spellEnd"/>
      <w:r>
        <w:rPr>
          <w:lang w:val="pt-BR"/>
        </w:rPr>
        <w:t>/</w:t>
      </w:r>
      <w:proofErr w:type="spellStart"/>
      <w:r>
        <w:rPr>
          <w:lang w:val="pt-BR"/>
        </w:rPr>
        <w:t>cmd</w:t>
      </w:r>
      <w:proofErr w:type="spellEnd"/>
      <w:r>
        <w:rPr>
          <w:lang w:val="pt-BR"/>
        </w:rPr>
        <w:t xml:space="preserve">) sem conhecer o endereço do atuador. Os níveis de </w:t>
      </w:r>
      <w:proofErr w:type="spellStart"/>
      <w:r>
        <w:rPr>
          <w:lang w:val="pt-BR"/>
        </w:rPr>
        <w:t>QoS</w:t>
      </w:r>
      <w:proofErr w:type="spellEnd"/>
      <w:r>
        <w:rPr>
          <w:lang w:val="pt-BR"/>
        </w:rPr>
        <w:t xml:space="preserve"> garantem a entrega do comando [OASIS 2019], e o </w:t>
      </w:r>
      <w:proofErr w:type="spellStart"/>
      <w:r>
        <w:rPr>
          <w:lang w:val="pt-BR"/>
        </w:rPr>
        <w:t>QoS</w:t>
      </w:r>
      <w:proofErr w:type="spellEnd"/>
      <w:r>
        <w:rPr>
          <w:lang w:val="pt-BR"/>
        </w:rPr>
        <w:t xml:space="preserve"> 2 evita que a bomba receba a mesma ordem duas vezes. O broker pode reter o último estado de cada válvula (</w:t>
      </w:r>
      <w:proofErr w:type="spellStart"/>
      <w:r>
        <w:rPr>
          <w:lang w:val="pt-BR"/>
        </w:rPr>
        <w:t>retained</w:t>
      </w:r>
      <w:proofErr w:type="spellEnd"/>
      <w:r>
        <w:rPr>
          <w:lang w:val="pt-BR"/>
        </w:rPr>
        <w:t xml:space="preserve"> </w:t>
      </w:r>
      <w:proofErr w:type="spellStart"/>
      <w:r>
        <w:rPr>
          <w:lang w:val="pt-BR"/>
        </w:rPr>
        <w:t>message</w:t>
      </w:r>
      <w:proofErr w:type="spellEnd"/>
      <w:r>
        <w:rPr>
          <w:lang w:val="pt-BR"/>
        </w:rPr>
        <w:t xml:space="preserve">), e o </w:t>
      </w:r>
      <w:proofErr w:type="spellStart"/>
      <w:r>
        <w:rPr>
          <w:lang w:val="pt-BR"/>
        </w:rPr>
        <w:t>Last</w:t>
      </w:r>
      <w:proofErr w:type="spellEnd"/>
      <w:r>
        <w:rPr>
          <w:lang w:val="pt-BR"/>
        </w:rPr>
        <w:t xml:space="preserve"> Will avisa a equipe se um controlador cair. A comunicação é protegida com TLS. O </w:t>
      </w:r>
      <w:proofErr w:type="spellStart"/>
      <w:r>
        <w:rPr>
          <w:lang w:val="pt-BR"/>
        </w:rPr>
        <w:t>CoAP</w:t>
      </w:r>
      <w:proofErr w:type="spellEnd"/>
      <w:r>
        <w:rPr>
          <w:lang w:val="pt-BR"/>
        </w:rPr>
        <w:t xml:space="preserve"> com mensagens </w:t>
      </w:r>
      <w:proofErr w:type="spellStart"/>
      <w:r>
        <w:rPr>
          <w:lang w:val="pt-BR"/>
        </w:rPr>
        <w:t>Confirmable</w:t>
      </w:r>
      <w:proofErr w:type="spellEnd"/>
      <w:r>
        <w:rPr>
          <w:lang w:val="pt-BR"/>
        </w:rPr>
        <w:t xml:space="preserve"> também funcionaria, mas o MQTT facilita ter vários assinantes do mesmo evento, como o painel do gerente e o registro histórico.</w:t>
      </w:r>
    </w:p>
    <w:p w14:paraId="10A96DFC" w14:textId="77777777" w:rsidR="006E36CB" w:rsidRDefault="00000000">
      <w:pPr>
        <w:spacing w:before="200" w:after="40"/>
        <w:outlineLvl w:val="1"/>
        <w:rPr>
          <w:lang w:val="pt-BR"/>
        </w:rPr>
      </w:pPr>
      <w:r>
        <w:rPr>
          <w:b/>
          <w:bCs/>
          <w:lang w:val="pt-BR"/>
        </w:rPr>
        <w:t>3.3. Gestão e presença dos operadores: XMPP</w:t>
      </w:r>
    </w:p>
    <w:p w14:paraId="4EED2454" w14:textId="77777777" w:rsidR="006E36CB" w:rsidRDefault="00000000">
      <w:pPr>
        <w:spacing w:before="120"/>
        <w:jc w:val="both"/>
        <w:rPr>
          <w:lang w:val="pt-BR"/>
        </w:rPr>
      </w:pPr>
      <w:r>
        <w:rPr>
          <w:lang w:val="pt-BR"/>
        </w:rPr>
        <w:t>Para a área 3, o XMPP atende melhor porque tem gerenciamento de presença nativo: cada máquina ou gerente aparece como online, offline ou indisponível em tempo real, que é exatamente o status pedido [Saint-</w:t>
      </w:r>
      <w:proofErr w:type="spellStart"/>
      <w:r>
        <w:rPr>
          <w:lang w:val="pt-BR"/>
        </w:rPr>
        <w:t>Andre</w:t>
      </w:r>
      <w:proofErr w:type="spellEnd"/>
      <w:r>
        <w:rPr>
          <w:lang w:val="pt-BR"/>
        </w:rPr>
        <w:t xml:space="preserve"> 2011]. Ele também combina </w:t>
      </w:r>
      <w:proofErr w:type="spellStart"/>
      <w:r>
        <w:rPr>
          <w:lang w:val="pt-BR"/>
        </w:rPr>
        <w:t>publish</w:t>
      </w:r>
      <w:proofErr w:type="spellEnd"/>
      <w:r>
        <w:rPr>
          <w:lang w:val="pt-BR"/>
        </w:rPr>
        <w:t>/</w:t>
      </w:r>
      <w:proofErr w:type="spellStart"/>
      <w:r>
        <w:rPr>
          <w:lang w:val="pt-BR"/>
        </w:rPr>
        <w:t>subscribe</w:t>
      </w:r>
      <w:proofErr w:type="spellEnd"/>
      <w:r>
        <w:rPr>
          <w:lang w:val="pt-BR"/>
        </w:rPr>
        <w:t xml:space="preserve">, usado para distribuir os alertas, com </w:t>
      </w:r>
      <w:proofErr w:type="spellStart"/>
      <w:r>
        <w:rPr>
          <w:lang w:val="pt-BR"/>
        </w:rPr>
        <w:t>request</w:t>
      </w:r>
      <w:proofErr w:type="spellEnd"/>
      <w:r>
        <w:rPr>
          <w:lang w:val="pt-BR"/>
        </w:rPr>
        <w:t xml:space="preserve">/response, e permite troca de mensagens entre </w:t>
      </w:r>
      <w:r>
        <w:rPr>
          <w:lang w:val="pt-BR"/>
        </w:rPr>
        <w:lastRenderedPageBreak/>
        <w:t xml:space="preserve">gerente e operador. O ponto fraco do XMPP é o custo do XML e da conexão TCP contínua, mas tablets, smartphones e computadores de bordo têm processamento e bateria recarregável suficientes. Uma alternativa seria usar o </w:t>
      </w:r>
      <w:proofErr w:type="spellStart"/>
      <w:r>
        <w:rPr>
          <w:lang w:val="pt-BR"/>
        </w:rPr>
        <w:t>Last</w:t>
      </w:r>
      <w:proofErr w:type="spellEnd"/>
      <w:r>
        <w:rPr>
          <w:lang w:val="pt-BR"/>
        </w:rPr>
        <w:t xml:space="preserve"> Will do MQTT para detectar quedas, porém isso exigiria montar a lógica de presença manualmente.</w:t>
      </w:r>
    </w:p>
    <w:p w14:paraId="7A9784CD" w14:textId="77777777" w:rsidR="006E36CB" w:rsidRDefault="00000000">
      <w:pPr>
        <w:spacing w:before="250" w:after="40"/>
        <w:outlineLvl w:val="0"/>
        <w:rPr>
          <w:lang w:val="pt-BR"/>
        </w:rPr>
      </w:pPr>
      <w:r>
        <w:rPr>
          <w:b/>
          <w:bCs/>
          <w:sz w:val="26"/>
          <w:szCs w:val="26"/>
          <w:lang w:val="pt-BR"/>
        </w:rPr>
        <w:t>4. Integração com o ERP</w:t>
      </w:r>
    </w:p>
    <w:p w14:paraId="21CEA7F5" w14:textId="77777777" w:rsidR="006E36CB" w:rsidRDefault="00000000">
      <w:pPr>
        <w:spacing w:before="120"/>
        <w:jc w:val="both"/>
        <w:rPr>
          <w:lang w:val="pt-BR"/>
        </w:rPr>
      </w:pPr>
      <w:r>
        <w:rPr>
          <w:lang w:val="pt-BR"/>
        </w:rPr>
        <w:t xml:space="preserve">A proposta usa computação de borda (fog) na sede da fazenda. Um gateway recebe as leituras </w:t>
      </w:r>
      <w:proofErr w:type="spellStart"/>
      <w:r>
        <w:rPr>
          <w:lang w:val="pt-BR"/>
        </w:rPr>
        <w:t>CoAP</w:t>
      </w:r>
      <w:proofErr w:type="spellEnd"/>
      <w:r>
        <w:rPr>
          <w:lang w:val="pt-BR"/>
        </w:rPr>
        <w:t xml:space="preserve"> dos sensores, hospeda o broker MQTT da irrigação (ex.: </w:t>
      </w:r>
      <w:proofErr w:type="spellStart"/>
      <w:r>
        <w:rPr>
          <w:lang w:val="pt-BR"/>
        </w:rPr>
        <w:t>Mosquitto</w:t>
      </w:r>
      <w:proofErr w:type="spellEnd"/>
      <w:r>
        <w:rPr>
          <w:lang w:val="pt-BR"/>
        </w:rPr>
        <w:t xml:space="preserve">) e o servidor XMPP (ex.: </w:t>
      </w:r>
      <w:proofErr w:type="spellStart"/>
      <w:r>
        <w:rPr>
          <w:lang w:val="pt-BR"/>
        </w:rPr>
        <w:t>ejabberd</w:t>
      </w:r>
      <w:proofErr w:type="spellEnd"/>
      <w:r>
        <w:rPr>
          <w:lang w:val="pt-BR"/>
        </w:rPr>
        <w:t xml:space="preserve">), e guarda tudo em um banco de dados local. Assim as regras de irrigação continuam funcionando mesmo se a internet cair, o que é comum em área rural. O gateway também faz a tradução de </w:t>
      </w:r>
      <w:proofErr w:type="spellStart"/>
      <w:r>
        <w:rPr>
          <w:lang w:val="pt-BR"/>
        </w:rPr>
        <w:t>CoAP</w:t>
      </w:r>
      <w:proofErr w:type="spellEnd"/>
      <w:r>
        <w:rPr>
          <w:lang w:val="pt-BR"/>
        </w:rPr>
        <w:t xml:space="preserve"> para MQTT, para que todos os dados fiquem disponíveis no mesmo broker.</w:t>
      </w:r>
    </w:p>
    <w:p w14:paraId="100E22AC" w14:textId="77777777" w:rsidR="006E36CB" w:rsidRDefault="00000000">
      <w:pPr>
        <w:spacing w:before="120"/>
        <w:jc w:val="both"/>
        <w:rPr>
          <w:lang w:val="pt-BR"/>
        </w:rPr>
      </w:pPr>
      <w:r>
        <w:rPr>
          <w:lang w:val="pt-BR"/>
        </w:rPr>
        <w:t>Uma vez por dia, uma tarefa agendada no gateway consolida os dados (médias de umidade, temperatura e radiação por talhão, volume irrigado, horas de uso das máquinas e alertas) em um arquivo JSON e envia para uma API REST do ERP por HTTPS, com autenticação por token. A saída para a internet pode ser feita por 4G rural, fibra de um provedor local ou satélite de órbita baixa. Se o envio falhar, o gateway mantém o arquivo e tenta de novo depois (store-</w:t>
      </w:r>
      <w:proofErr w:type="spellStart"/>
      <w:r>
        <w:rPr>
          <w:lang w:val="pt-BR"/>
        </w:rPr>
        <w:t>and</w:t>
      </w:r>
      <w:proofErr w:type="spellEnd"/>
      <w:r>
        <w:rPr>
          <w:lang w:val="pt-BR"/>
        </w:rPr>
        <w:t>-</w:t>
      </w:r>
      <w:proofErr w:type="spellStart"/>
      <w:r>
        <w:rPr>
          <w:lang w:val="pt-BR"/>
        </w:rPr>
        <w:t>forward</w:t>
      </w:r>
      <w:proofErr w:type="spellEnd"/>
      <w:r>
        <w:rPr>
          <w:lang w:val="pt-BR"/>
        </w:rPr>
        <w:t xml:space="preserve">). HTTPS foi escolhido porque os </w:t>
      </w:r>
      <w:proofErr w:type="spellStart"/>
      <w:r>
        <w:rPr>
          <w:lang w:val="pt-BR"/>
        </w:rPr>
        <w:t>ERPs</w:t>
      </w:r>
      <w:proofErr w:type="spellEnd"/>
      <w:r>
        <w:rPr>
          <w:lang w:val="pt-BR"/>
        </w:rPr>
        <w:t xml:space="preserve"> costumam oferecer APIs REST e o envio acontece só uma vez por dia, então não faz sentido manter uma conexão aberta. Outra opção seria criar uma bridge do broker local para um broker MQTT na nuvem, com TLS, onde o ERP assinaria um tópico de dados consolidados.</w:t>
      </w:r>
    </w:p>
    <w:p w14:paraId="6413E2B0" w14:textId="77777777" w:rsidR="006E36CB" w:rsidRDefault="00000000">
      <w:pPr>
        <w:spacing w:before="250" w:after="40"/>
        <w:outlineLvl w:val="0"/>
        <w:rPr>
          <w:lang w:val="pt-BR"/>
        </w:rPr>
      </w:pPr>
      <w:r>
        <w:rPr>
          <w:b/>
          <w:bCs/>
          <w:sz w:val="26"/>
          <w:szCs w:val="26"/>
          <w:lang w:val="pt-BR"/>
        </w:rPr>
        <w:t>Referências</w:t>
      </w:r>
    </w:p>
    <w:p w14:paraId="69EC660F" w14:textId="77777777" w:rsidR="006E36CB" w:rsidRPr="00485E99" w:rsidRDefault="00000000">
      <w:pPr>
        <w:spacing w:before="100"/>
        <w:ind w:left="453" w:hanging="453"/>
        <w:jc w:val="both"/>
      </w:pPr>
      <w:r>
        <w:rPr>
          <w:lang w:val="pt-BR"/>
        </w:rPr>
        <w:t xml:space="preserve">Bormann, C., </w:t>
      </w:r>
      <w:proofErr w:type="spellStart"/>
      <w:r>
        <w:rPr>
          <w:lang w:val="pt-BR"/>
        </w:rPr>
        <w:t>Ersue</w:t>
      </w:r>
      <w:proofErr w:type="spellEnd"/>
      <w:r>
        <w:rPr>
          <w:lang w:val="pt-BR"/>
        </w:rPr>
        <w:t xml:space="preserve">, M. e </w:t>
      </w:r>
      <w:proofErr w:type="spellStart"/>
      <w:r>
        <w:rPr>
          <w:lang w:val="pt-BR"/>
        </w:rPr>
        <w:t>Keranen</w:t>
      </w:r>
      <w:proofErr w:type="spellEnd"/>
      <w:r>
        <w:rPr>
          <w:lang w:val="pt-BR"/>
        </w:rPr>
        <w:t xml:space="preserve">, A. (2014). </w:t>
      </w:r>
      <w:r w:rsidRPr="00485E99">
        <w:t xml:space="preserve">Terminology for Constrained-Node Networks. RFC 7228, Internet Engineering Task Force. </w:t>
      </w:r>
      <w:proofErr w:type="spellStart"/>
      <w:r w:rsidRPr="00485E99">
        <w:t>Disponível</w:t>
      </w:r>
      <w:proofErr w:type="spellEnd"/>
      <w:r w:rsidRPr="00485E99">
        <w:t xml:space="preserve"> </w:t>
      </w:r>
      <w:proofErr w:type="spellStart"/>
      <w:r w:rsidRPr="00485E99">
        <w:t>em</w:t>
      </w:r>
      <w:proofErr w:type="spellEnd"/>
      <w:r w:rsidRPr="00485E99">
        <w:t>: https://www.rfc-editor.org/info/rfc7228.</w:t>
      </w:r>
    </w:p>
    <w:p w14:paraId="2D142B69" w14:textId="77777777" w:rsidR="006E36CB" w:rsidRPr="00485E99" w:rsidRDefault="00000000">
      <w:pPr>
        <w:spacing w:before="100"/>
        <w:ind w:left="453" w:hanging="453"/>
        <w:jc w:val="both"/>
      </w:pPr>
      <w:r w:rsidRPr="00485E99">
        <w:t>Hartke, K. (2015). Observing Resources in the Constrained Application Protocol (CoAP). RFC 7641, Internet Engineering Task Force.</w:t>
      </w:r>
    </w:p>
    <w:p w14:paraId="79D22C70" w14:textId="77777777" w:rsidR="006E36CB" w:rsidRDefault="00000000">
      <w:pPr>
        <w:spacing w:before="100"/>
        <w:ind w:left="453" w:hanging="453"/>
        <w:jc w:val="both"/>
        <w:rPr>
          <w:lang w:val="pt-BR"/>
        </w:rPr>
      </w:pPr>
      <w:r w:rsidRPr="00485E99">
        <w:t xml:space="preserve">OASIS (2019). MQTT Version 5.0. OASIS Standard. </w:t>
      </w:r>
      <w:r>
        <w:rPr>
          <w:lang w:val="pt-BR"/>
        </w:rPr>
        <w:t>Disponível em: https://mqtt.org/mqtt-specification.</w:t>
      </w:r>
    </w:p>
    <w:p w14:paraId="0EFFC7F7" w14:textId="77777777" w:rsidR="006E36CB" w:rsidRDefault="00000000">
      <w:pPr>
        <w:spacing w:before="100"/>
        <w:ind w:left="453" w:hanging="453"/>
        <w:jc w:val="both"/>
        <w:rPr>
          <w:lang w:val="pt-BR"/>
        </w:rPr>
      </w:pPr>
      <w:r>
        <w:rPr>
          <w:lang w:val="pt-BR"/>
        </w:rPr>
        <w:t>Oliveira, G. W. (2026). Novas Tecnologias em Redes de Comunicação: Redes IoT. Notas de aula, Instituto Federal do Paraná, Câmpus Pinhais.</w:t>
      </w:r>
    </w:p>
    <w:p w14:paraId="05A70B34" w14:textId="77777777" w:rsidR="006E36CB" w:rsidRPr="00485E99" w:rsidRDefault="00000000">
      <w:pPr>
        <w:spacing w:before="100"/>
        <w:ind w:left="453" w:hanging="453"/>
        <w:jc w:val="both"/>
      </w:pPr>
      <w:r>
        <w:rPr>
          <w:lang w:val="pt-BR"/>
        </w:rPr>
        <w:t>Saint-</w:t>
      </w:r>
      <w:proofErr w:type="spellStart"/>
      <w:r>
        <w:rPr>
          <w:lang w:val="pt-BR"/>
        </w:rPr>
        <w:t>Andre</w:t>
      </w:r>
      <w:proofErr w:type="spellEnd"/>
      <w:r>
        <w:rPr>
          <w:lang w:val="pt-BR"/>
        </w:rPr>
        <w:t xml:space="preserve">, P. (2011). </w:t>
      </w:r>
      <w:r w:rsidRPr="00485E99">
        <w:t>Extensible Messaging and Presence Protocol (XMPP): Core. RFC 6120, Internet Engineering Task Force.</w:t>
      </w:r>
    </w:p>
    <w:p w14:paraId="74656D67" w14:textId="77777777" w:rsidR="006E36CB" w:rsidRPr="00485E99" w:rsidRDefault="00000000">
      <w:pPr>
        <w:spacing w:before="100"/>
        <w:ind w:left="453" w:hanging="453"/>
        <w:jc w:val="both"/>
      </w:pPr>
      <w:r w:rsidRPr="00485E99">
        <w:t xml:space="preserve">Shelby, Z., Hartke, K. e Bormann, C. (2014). The Constrained Application Protocol (CoAP). RFC 7252, Internet Engineering Task Force. </w:t>
      </w:r>
      <w:proofErr w:type="spellStart"/>
      <w:r w:rsidRPr="00485E99">
        <w:t>Disponível</w:t>
      </w:r>
      <w:proofErr w:type="spellEnd"/>
      <w:r w:rsidRPr="00485E99">
        <w:t xml:space="preserve"> </w:t>
      </w:r>
      <w:proofErr w:type="spellStart"/>
      <w:r w:rsidRPr="00485E99">
        <w:t>em</w:t>
      </w:r>
      <w:proofErr w:type="spellEnd"/>
      <w:r w:rsidRPr="00485E99">
        <w:t>: https://www.rfc-editor.org/info/rfc7252.</w:t>
      </w:r>
    </w:p>
    <w:sectPr w:rsidR="006E36CB" w:rsidRPr="00485E99">
      <w:pgSz w:w="11906" w:h="16838"/>
      <w:pgMar w:top="1984" w:right="1701"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B4D2E"/>
    <w:multiLevelType w:val="hybridMultilevel"/>
    <w:tmpl w:val="ED36E7C4"/>
    <w:lvl w:ilvl="0" w:tplc="C8526B2E">
      <w:start w:val="1"/>
      <w:numFmt w:val="bullet"/>
      <w:lvlText w:val="●"/>
      <w:lvlJc w:val="left"/>
      <w:pPr>
        <w:ind w:left="720" w:hanging="360"/>
      </w:pPr>
    </w:lvl>
    <w:lvl w:ilvl="1" w:tplc="3CE8F4DA">
      <w:start w:val="1"/>
      <w:numFmt w:val="bullet"/>
      <w:lvlText w:val="○"/>
      <w:lvlJc w:val="left"/>
      <w:pPr>
        <w:ind w:left="1440" w:hanging="360"/>
      </w:pPr>
    </w:lvl>
    <w:lvl w:ilvl="2" w:tplc="12D00EE4">
      <w:start w:val="1"/>
      <w:numFmt w:val="bullet"/>
      <w:lvlText w:val="■"/>
      <w:lvlJc w:val="left"/>
      <w:pPr>
        <w:ind w:left="2160" w:hanging="360"/>
      </w:pPr>
    </w:lvl>
    <w:lvl w:ilvl="3" w:tplc="C4E2AF7C">
      <w:start w:val="1"/>
      <w:numFmt w:val="bullet"/>
      <w:lvlText w:val="●"/>
      <w:lvlJc w:val="left"/>
      <w:pPr>
        <w:ind w:left="2880" w:hanging="360"/>
      </w:pPr>
    </w:lvl>
    <w:lvl w:ilvl="4" w:tplc="A5BCA75A">
      <w:start w:val="1"/>
      <w:numFmt w:val="bullet"/>
      <w:lvlText w:val="○"/>
      <w:lvlJc w:val="left"/>
      <w:pPr>
        <w:ind w:left="3600" w:hanging="360"/>
      </w:pPr>
    </w:lvl>
    <w:lvl w:ilvl="5" w:tplc="9B7C74A0">
      <w:start w:val="1"/>
      <w:numFmt w:val="bullet"/>
      <w:lvlText w:val="■"/>
      <w:lvlJc w:val="left"/>
      <w:pPr>
        <w:ind w:left="4320" w:hanging="360"/>
      </w:pPr>
    </w:lvl>
    <w:lvl w:ilvl="6" w:tplc="B39E348C">
      <w:start w:val="1"/>
      <w:numFmt w:val="bullet"/>
      <w:lvlText w:val="●"/>
      <w:lvlJc w:val="left"/>
      <w:pPr>
        <w:ind w:left="5040" w:hanging="360"/>
      </w:pPr>
    </w:lvl>
    <w:lvl w:ilvl="7" w:tplc="35208834">
      <w:start w:val="1"/>
      <w:numFmt w:val="bullet"/>
      <w:lvlText w:val="●"/>
      <w:lvlJc w:val="left"/>
      <w:pPr>
        <w:ind w:left="5760" w:hanging="360"/>
      </w:pPr>
    </w:lvl>
    <w:lvl w:ilvl="8" w:tplc="A2B2F93E">
      <w:start w:val="1"/>
      <w:numFmt w:val="bullet"/>
      <w:lvlText w:val="●"/>
      <w:lvlJc w:val="left"/>
      <w:pPr>
        <w:ind w:left="6480" w:hanging="360"/>
      </w:pPr>
    </w:lvl>
  </w:abstractNum>
  <w:num w:numId="1" w16cid:durableId="681859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3B1"/>
    <w:rsid w:val="000103B1"/>
    <w:rsid w:val="00035889"/>
    <w:rsid w:val="000A2BF6"/>
    <w:rsid w:val="003E07C4"/>
    <w:rsid w:val="004515E3"/>
    <w:rsid w:val="00485E99"/>
    <w:rsid w:val="004F3AFC"/>
    <w:rsid w:val="006D3F10"/>
    <w:rsid w:val="006E36CB"/>
    <w:rsid w:val="008E5BA2"/>
    <w:rsid w:val="009863A3"/>
    <w:rsid w:val="00AC2A8F"/>
    <w:rsid w:val="00B93E67"/>
    <w:rsid w:val="00BE2E1C"/>
    <w:rsid w:val="00BF42A6"/>
    <w:rsid w:val="00DE6C12"/>
    <w:rsid w:val="00F9439D"/>
    <w:rsid w:val="00FE0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ED19"/>
  <w15:docId w15:val="{0207C90D-BD91-4DF1-BDE3-C92C2B154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1188</Words>
  <Characters>6773</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CIRO GUILHERME NASS</cp:lastModifiedBy>
  <cp:revision>9</cp:revision>
  <cp:lastPrinted>2026-09-09T20:30:00Z</cp:lastPrinted>
  <dcterms:created xsi:type="dcterms:W3CDTF">2026-08-19T19:52:00Z</dcterms:created>
  <dcterms:modified xsi:type="dcterms:W3CDTF">2026-09-16T20:10:00Z</dcterms:modified>
</cp:coreProperties>
</file>