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2DA1" w14:textId="77777777" w:rsidR="00FF21EF" w:rsidRDefault="00CA4494">
      <w:pPr>
        <w:spacing w:after="433" w:line="259" w:lineRule="auto"/>
        <w:ind w:left="-3" w:right="-19" w:firstLine="0"/>
        <w:jc w:val="left"/>
      </w:pPr>
      <w:r>
        <w:rPr>
          <w:noProof/>
          <w:color w:val="000000"/>
          <w:sz w:val="22"/>
        </w:rPr>
        <mc:AlternateContent>
          <mc:Choice Requires="wpg">
            <w:drawing>
              <wp:inline distT="0" distB="0" distL="0" distR="0" wp14:anchorId="7837982A" wp14:editId="07D5893C">
                <wp:extent cx="6142990" cy="19050"/>
                <wp:effectExtent l="0" t="0" r="0" b="0"/>
                <wp:docPr id="1907" name="Group 1907"/>
                <wp:cNvGraphicFramePr/>
                <a:graphic xmlns:a="http://schemas.openxmlformats.org/drawingml/2006/main">
                  <a:graphicData uri="http://schemas.microsoft.com/office/word/2010/wordprocessingGroup">
                    <wpg:wgp>
                      <wpg:cNvGrpSpPr/>
                      <wpg:grpSpPr>
                        <a:xfrm>
                          <a:off x="0" y="0"/>
                          <a:ext cx="6142990" cy="19050"/>
                          <a:chOff x="0" y="0"/>
                          <a:chExt cx="6142990" cy="19050"/>
                        </a:xfrm>
                      </wpg:grpSpPr>
                      <wps:wsp>
                        <wps:cNvPr id="105" name="Shape 105"/>
                        <wps:cNvSpPr/>
                        <wps:spPr>
                          <a:xfrm>
                            <a:off x="0" y="0"/>
                            <a:ext cx="6142990" cy="19050"/>
                          </a:xfrm>
                          <a:custGeom>
                            <a:avLst/>
                            <a:gdLst/>
                            <a:ahLst/>
                            <a:cxnLst/>
                            <a:rect l="0" t="0" r="0" b="0"/>
                            <a:pathLst>
                              <a:path w="6142990" h="19050">
                                <a:moveTo>
                                  <a:pt x="0" y="0"/>
                                </a:moveTo>
                                <a:lnTo>
                                  <a:pt x="6142990" y="0"/>
                                </a:lnTo>
                                <a:lnTo>
                                  <a:pt x="6142990" y="19050"/>
                                </a:lnTo>
                                <a:lnTo>
                                  <a:pt x="307149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907" style="width:483.7pt;height:1.5pt;mso-position-horizontal-relative:char;mso-position-vertical-relative:line" coordsize="61429,190">
                <v:shape id="Shape 105" style="position:absolute;width:61429;height:190;left:0;top:0;" coordsize="6142990,19050" path="m0,0l6142990,0l6142990,19050l3071495,19050l0,19050l0,0x">
                  <v:stroke weight="0pt" endcap="flat" joinstyle="miter" miterlimit="10" on="false" color="#000000" opacity="0"/>
                  <v:fill on="true" color="#a0a0a0"/>
                </v:shape>
              </v:group>
            </w:pict>
          </mc:Fallback>
        </mc:AlternateContent>
      </w:r>
    </w:p>
    <w:p w14:paraId="7F444B4E" w14:textId="169802A1" w:rsidR="00FF21EF" w:rsidRPr="001E7BBC" w:rsidRDefault="001E7BBC">
      <w:pPr>
        <w:spacing w:after="0" w:line="259" w:lineRule="auto"/>
        <w:ind w:left="0" w:firstLine="0"/>
        <w:jc w:val="left"/>
        <w:rPr>
          <w:sz w:val="32"/>
          <w:szCs w:val="32"/>
          <w:lang w:val="en-US"/>
        </w:rPr>
      </w:pPr>
      <w:r w:rsidRPr="001E7BBC">
        <w:rPr>
          <w:b/>
          <w:sz w:val="32"/>
          <w:szCs w:val="32"/>
          <w:lang w:val="en-US"/>
        </w:rPr>
        <w:t>Cost of Living Index by Country, 2024 Mid-Year Data</w:t>
      </w:r>
    </w:p>
    <w:p w14:paraId="7A09FD06" w14:textId="18F7840D" w:rsidR="00FF21EF" w:rsidRDefault="001E7BBC">
      <w:pPr>
        <w:spacing w:after="332" w:line="259" w:lineRule="auto"/>
        <w:ind w:left="2" w:firstLine="0"/>
        <w:jc w:val="left"/>
      </w:pPr>
      <w:r>
        <w:rPr>
          <w:color w:val="16A6FF"/>
          <w:sz w:val="20"/>
        </w:rPr>
        <w:t>Ciro Gomes</w:t>
      </w:r>
      <w:r w:rsidR="00CA4494">
        <w:rPr>
          <w:color w:val="16A6FF"/>
          <w:sz w:val="20"/>
        </w:rPr>
        <w:t xml:space="preserve">, </w:t>
      </w:r>
      <w:r w:rsidRPr="001E7BBC">
        <w:rPr>
          <w:color w:val="16A6FF"/>
          <w:sz w:val="20"/>
        </w:rPr>
        <w:t>ciro.gomes@academico.ufpb.br</w:t>
      </w:r>
    </w:p>
    <w:p w14:paraId="6C3CBB99" w14:textId="77777777" w:rsidR="00FF21EF" w:rsidRDefault="00CA4494">
      <w:pPr>
        <w:spacing w:after="38" w:line="259" w:lineRule="auto"/>
        <w:ind w:left="0" w:right="4" w:firstLine="0"/>
        <w:jc w:val="right"/>
      </w:pPr>
      <w:r>
        <w:rPr>
          <w:color w:val="000000"/>
          <w:sz w:val="15"/>
        </w:rPr>
        <w:t xml:space="preserve">Universidade Federal da Paraíba </w:t>
      </w:r>
    </w:p>
    <w:p w14:paraId="70F5D67D" w14:textId="77777777" w:rsidR="00FF21EF" w:rsidRDefault="00CA4494">
      <w:pPr>
        <w:spacing w:after="51" w:line="375" w:lineRule="auto"/>
        <w:ind w:left="8684" w:hanging="1440"/>
        <w:jc w:val="left"/>
      </w:pPr>
      <w:r>
        <w:rPr>
          <w:color w:val="000000"/>
          <w:sz w:val="15"/>
        </w:rPr>
        <w:t xml:space="preserve">Cadernos de Visualização de Dados </w:t>
      </w:r>
      <w:r>
        <w:rPr>
          <w:color w:val="16A6FF"/>
          <w:sz w:val="15"/>
        </w:rPr>
        <w:t>cdia.ci.ufpb.br</w:t>
      </w:r>
    </w:p>
    <w:p w14:paraId="223267A2" w14:textId="77777777" w:rsidR="00FF21EF" w:rsidRDefault="00CA4494">
      <w:pPr>
        <w:spacing w:after="704" w:line="259" w:lineRule="auto"/>
        <w:ind w:left="-3" w:right="-19" w:firstLine="0"/>
        <w:jc w:val="left"/>
      </w:pPr>
      <w:r>
        <w:rPr>
          <w:noProof/>
          <w:color w:val="000000"/>
          <w:sz w:val="22"/>
        </w:rPr>
        <mc:AlternateContent>
          <mc:Choice Requires="wpg">
            <w:drawing>
              <wp:inline distT="0" distB="0" distL="0" distR="0" wp14:anchorId="25FE6D95" wp14:editId="2CBEBC1B">
                <wp:extent cx="6142990" cy="19050"/>
                <wp:effectExtent l="0" t="0" r="0" b="0"/>
                <wp:docPr id="1908" name="Group 1908"/>
                <wp:cNvGraphicFramePr/>
                <a:graphic xmlns:a="http://schemas.openxmlformats.org/drawingml/2006/main">
                  <a:graphicData uri="http://schemas.microsoft.com/office/word/2010/wordprocessingGroup">
                    <wpg:wgp>
                      <wpg:cNvGrpSpPr/>
                      <wpg:grpSpPr>
                        <a:xfrm>
                          <a:off x="0" y="0"/>
                          <a:ext cx="6142990" cy="19050"/>
                          <a:chOff x="0" y="0"/>
                          <a:chExt cx="6142990" cy="19050"/>
                        </a:xfrm>
                      </wpg:grpSpPr>
                      <wps:wsp>
                        <wps:cNvPr id="106" name="Shape 106"/>
                        <wps:cNvSpPr/>
                        <wps:spPr>
                          <a:xfrm>
                            <a:off x="0" y="0"/>
                            <a:ext cx="6142990" cy="19050"/>
                          </a:xfrm>
                          <a:custGeom>
                            <a:avLst/>
                            <a:gdLst/>
                            <a:ahLst/>
                            <a:cxnLst/>
                            <a:rect l="0" t="0" r="0" b="0"/>
                            <a:pathLst>
                              <a:path w="6142990" h="19050">
                                <a:moveTo>
                                  <a:pt x="0" y="0"/>
                                </a:moveTo>
                                <a:lnTo>
                                  <a:pt x="6142990" y="0"/>
                                </a:lnTo>
                                <a:lnTo>
                                  <a:pt x="6142990" y="19050"/>
                                </a:lnTo>
                                <a:lnTo>
                                  <a:pt x="307149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908" style="width:483.7pt;height:1.5pt;mso-position-horizontal-relative:char;mso-position-vertical-relative:line" coordsize="61429,190">
                <v:shape id="Shape 106" style="position:absolute;width:61429;height:190;left:0;top:0;" coordsize="6142990,19050" path="m0,0l6142990,0l6142990,19050l3071495,19050l0,19050l0,0x">
                  <v:stroke weight="0pt" endcap="flat" joinstyle="miter" miterlimit="10" on="false" color="#000000" opacity="0"/>
                  <v:fill on="true" color="#a0a0a0"/>
                </v:shape>
              </v:group>
            </w:pict>
          </mc:Fallback>
        </mc:AlternateContent>
      </w:r>
    </w:p>
    <w:p w14:paraId="02BE6CD3" w14:textId="3D4501F0" w:rsidR="00FF21EF" w:rsidRDefault="008154FF">
      <w:pPr>
        <w:spacing w:after="0" w:line="259" w:lineRule="auto"/>
        <w:ind w:left="0" w:right="3" w:firstLine="0"/>
        <w:jc w:val="center"/>
      </w:pPr>
      <w:r>
        <w:rPr>
          <w:color w:val="000000"/>
          <w:sz w:val="20"/>
        </w:rPr>
        <w:t>07</w:t>
      </w:r>
      <w:r w:rsidR="00CA4494">
        <w:rPr>
          <w:color w:val="000000"/>
          <w:sz w:val="20"/>
        </w:rPr>
        <w:t xml:space="preserve"> de agosto de 202</w:t>
      </w:r>
      <w:r>
        <w:rPr>
          <w:color w:val="000000"/>
          <w:sz w:val="20"/>
        </w:rPr>
        <w:t>4</w:t>
      </w:r>
    </w:p>
    <w:p w14:paraId="5E618C41" w14:textId="77777777" w:rsidR="00FF21EF" w:rsidRDefault="00FF21EF">
      <w:pPr>
        <w:sectPr w:rsidR="00FF21EF">
          <w:pgSz w:w="11906" w:h="16820"/>
          <w:pgMar w:top="564" w:right="1125" w:bottom="764" w:left="1130" w:header="720" w:footer="720" w:gutter="0"/>
          <w:cols w:space="720"/>
        </w:sectPr>
      </w:pPr>
    </w:p>
    <w:p w14:paraId="47506D79" w14:textId="15929D1A" w:rsidR="00FF21EF" w:rsidRDefault="00CA4494">
      <w:pPr>
        <w:pStyle w:val="Ttulo1"/>
        <w:rPr>
          <w:sz w:val="26"/>
        </w:rPr>
      </w:pPr>
      <w:r>
        <w:t>Assunto</w:t>
      </w:r>
      <w:r>
        <w:rPr>
          <w:sz w:val="26"/>
        </w:rPr>
        <w:t xml:space="preserve"> </w:t>
      </w:r>
    </w:p>
    <w:p w14:paraId="34A19EA0" w14:textId="77777777" w:rsidR="001B02BA" w:rsidRPr="001B02BA" w:rsidRDefault="001B02BA" w:rsidP="001B02BA"/>
    <w:p w14:paraId="492AEC59" w14:textId="615B19BD" w:rsidR="00FF21EF" w:rsidRDefault="001B02BA">
      <w:pPr>
        <w:spacing w:after="380"/>
        <w:ind w:left="136" w:firstLine="226"/>
      </w:pPr>
      <w:r w:rsidRPr="001B02BA">
        <w:t xml:space="preserve">Este artigo apresenta uma análise detalhada do índice de custo de vida por país para o meio do ano de 2024, utilizando dados extraídos do site </w:t>
      </w:r>
      <w:proofErr w:type="spellStart"/>
      <w:r w:rsidRPr="001B02BA">
        <w:t>Numbeo</w:t>
      </w:r>
      <w:proofErr w:type="spellEnd"/>
      <w:r w:rsidRPr="001B02BA">
        <w:t>. O objetivo é comparar os custos de vida de diferentes países em relação à cidade de Nova York, que serve como referência com um índice base de 100%. Este estudo oferece uma visão abrangente sobre os custos de bens de consumo, aluguel, alimentação, restaurantes e o poder de compra local em várias cidades ao redor do mundo.</w:t>
      </w:r>
    </w:p>
    <w:p w14:paraId="0F35B3AF" w14:textId="7A0E1E6A" w:rsidR="00FF21EF" w:rsidRDefault="001B02BA" w:rsidP="001B02BA">
      <w:pPr>
        <w:spacing w:after="101" w:line="259" w:lineRule="auto"/>
        <w:ind w:left="136" w:firstLine="0"/>
        <w:jc w:val="left"/>
        <w:rPr>
          <w:b/>
          <w:bCs/>
        </w:rPr>
      </w:pPr>
      <w:r w:rsidRPr="001B02BA">
        <w:rPr>
          <w:b/>
          <w:bCs/>
        </w:rPr>
        <w:t>Entendendo os Índices de Custo de Vida</w:t>
      </w:r>
      <w:r w:rsidR="00CA4494" w:rsidRPr="001B02BA">
        <w:rPr>
          <w:b/>
          <w:bCs/>
        </w:rPr>
        <w:t xml:space="preserve">: </w:t>
      </w:r>
    </w:p>
    <w:p w14:paraId="0AB1BE13" w14:textId="40996A34" w:rsidR="001B02BA" w:rsidRPr="001B02BA" w:rsidRDefault="001B02BA" w:rsidP="001B02BA">
      <w:pPr>
        <w:spacing w:after="101" w:line="259" w:lineRule="auto"/>
        <w:ind w:left="136" w:firstLine="0"/>
        <w:jc w:val="left"/>
      </w:pPr>
      <w:r>
        <w:t xml:space="preserve">     </w:t>
      </w:r>
      <w:r w:rsidRPr="001B02BA">
        <w:t xml:space="preserve">Os índices de custo de vida fornecidos pela </w:t>
      </w:r>
      <w:proofErr w:type="spellStart"/>
      <w:r w:rsidRPr="001B02BA">
        <w:t>Numbeo</w:t>
      </w:r>
      <w:proofErr w:type="spellEnd"/>
      <w:r w:rsidRPr="001B02BA">
        <w:t xml:space="preserve"> são relativos à cidade de Nova York (NYC). Um índice de 100 reflete o mesmo custo de vida de NYC. Aqui está uma descrição de cada índice e seu significado:</w:t>
      </w:r>
    </w:p>
    <w:p w14:paraId="438E1DB4" w14:textId="738A5BD2" w:rsidR="001B02BA" w:rsidRPr="001B02BA" w:rsidRDefault="001B02BA" w:rsidP="001B02BA">
      <w:pPr>
        <w:spacing w:after="101" w:line="259" w:lineRule="auto"/>
        <w:ind w:left="136" w:firstLine="0"/>
        <w:jc w:val="left"/>
        <w:rPr>
          <w:b/>
          <w:bCs/>
        </w:rPr>
      </w:pPr>
      <w:r>
        <w:rPr>
          <w:b/>
          <w:bCs/>
        </w:rPr>
        <w:tab/>
      </w:r>
    </w:p>
    <w:p w14:paraId="1A3AF63A" w14:textId="0E86FF71" w:rsidR="00FF21EF" w:rsidRDefault="001B02BA">
      <w:pPr>
        <w:numPr>
          <w:ilvl w:val="0"/>
          <w:numId w:val="1"/>
        </w:numPr>
        <w:spacing w:after="111"/>
        <w:ind w:hanging="140"/>
      </w:pPr>
      <w:r w:rsidRPr="001B02BA">
        <w:t>Índice de Custo de Vida (Excluindo Aluguel): Indica os preços relativos de bens de consumo como alimentos, restaurantes, transporte e utilidades, excluindo despesas com acomodação. Um índice de 120, por exemplo, sugere que a cidade é 20% mais cara do que NYC (excluindo aluguel).</w:t>
      </w:r>
    </w:p>
    <w:p w14:paraId="6C0255B5" w14:textId="29E9A054" w:rsidR="001B02BA" w:rsidRDefault="001B02BA">
      <w:pPr>
        <w:numPr>
          <w:ilvl w:val="0"/>
          <w:numId w:val="1"/>
        </w:numPr>
        <w:spacing w:after="111"/>
        <w:ind w:hanging="140"/>
      </w:pPr>
      <w:r w:rsidRPr="001B02BA">
        <w:t>Índice de Aluguel: Estima os preços de aluguel de apartamentos em comparação com NYC. Um índice de 80 indica que os preços de aluguel são aproximadamente 20% mais baixos do que em NYC.</w:t>
      </w:r>
    </w:p>
    <w:p w14:paraId="02B885B8" w14:textId="0912DD06" w:rsidR="001B02BA" w:rsidRDefault="001B02BA">
      <w:pPr>
        <w:numPr>
          <w:ilvl w:val="0"/>
          <w:numId w:val="1"/>
        </w:numPr>
        <w:spacing w:after="111"/>
        <w:ind w:hanging="140"/>
      </w:pPr>
      <w:r w:rsidRPr="001B02BA">
        <w:t>Índice de Custo de Vida + Aluguel: Estima os preços de bens de consumo, incluindo aluguel, em comparação com NYC.</w:t>
      </w:r>
    </w:p>
    <w:p w14:paraId="33B5E1AF" w14:textId="13CB82CB" w:rsidR="001B02BA" w:rsidRDefault="001B02BA">
      <w:pPr>
        <w:numPr>
          <w:ilvl w:val="0"/>
          <w:numId w:val="1"/>
        </w:numPr>
        <w:spacing w:after="111"/>
        <w:ind w:hanging="140"/>
      </w:pPr>
      <w:r w:rsidRPr="001B02BA">
        <w:t>Índice de Restaurantes: Compara os preços de refeições e bebidas em restaurantes e bares com os de NYC.</w:t>
      </w:r>
    </w:p>
    <w:p w14:paraId="016559D3" w14:textId="0AC1C93F" w:rsidR="001B02BA" w:rsidRDefault="001B02BA">
      <w:pPr>
        <w:numPr>
          <w:ilvl w:val="0"/>
          <w:numId w:val="1"/>
        </w:numPr>
        <w:spacing w:after="111"/>
        <w:ind w:hanging="140"/>
      </w:pPr>
      <w:r w:rsidRPr="001B02BA">
        <w:t>Poder de Compra Local: Indica o poder de compra relativo em uma cidade com base no salário médio. Um poder de compra doméstico de 40 significa que os residentes, com um salário médio, podem comprar em média 60% menos bens e serviços em comparação com os residentes de NYC com um salário médio.</w:t>
      </w:r>
    </w:p>
    <w:p w14:paraId="42FF2E03" w14:textId="7C60B783" w:rsidR="00FF21EF" w:rsidRDefault="00CA4494" w:rsidP="00C5631B">
      <w:pPr>
        <w:spacing w:after="0" w:line="259" w:lineRule="auto"/>
        <w:ind w:left="0" w:firstLine="0"/>
        <w:jc w:val="right"/>
      </w:pPr>
      <w:r>
        <w:rPr>
          <w:rFonts w:ascii="Arial" w:eastAsia="Arial" w:hAnsi="Arial" w:cs="Arial"/>
          <w:color w:val="000000"/>
          <w:sz w:val="22"/>
        </w:rPr>
        <w:t>1</w:t>
      </w:r>
    </w:p>
    <w:p w14:paraId="1604F521" w14:textId="573CB380" w:rsidR="00C5631B" w:rsidRDefault="00C5631B" w:rsidP="00C5631B">
      <w:pPr>
        <w:spacing w:after="0" w:line="259" w:lineRule="auto"/>
        <w:ind w:left="0" w:firstLine="0"/>
        <w:jc w:val="right"/>
      </w:pPr>
    </w:p>
    <w:p w14:paraId="4EBF1E66" w14:textId="77777777" w:rsidR="00C5631B" w:rsidRPr="00C5631B" w:rsidRDefault="00C5631B" w:rsidP="00C5631B">
      <w:pPr>
        <w:spacing w:after="0" w:line="259" w:lineRule="auto"/>
        <w:ind w:left="0" w:firstLine="0"/>
        <w:jc w:val="right"/>
      </w:pPr>
    </w:p>
    <w:p w14:paraId="3FE6E1A2" w14:textId="1BA4DF8D" w:rsidR="001B02BA" w:rsidRPr="001B02BA" w:rsidRDefault="001B02BA">
      <w:pPr>
        <w:spacing w:after="120" w:line="259" w:lineRule="auto"/>
        <w:ind w:left="135"/>
        <w:jc w:val="left"/>
        <w:rPr>
          <w:b/>
          <w:bCs/>
        </w:rPr>
      </w:pPr>
      <w:r w:rsidRPr="001B02BA">
        <w:rPr>
          <w:b/>
          <w:bCs/>
        </w:rPr>
        <w:t>Metodologia</w:t>
      </w:r>
    </w:p>
    <w:p w14:paraId="39FA31FF" w14:textId="08EBEEE3" w:rsidR="00FF21EF" w:rsidRDefault="001B02BA" w:rsidP="001B02BA">
      <w:pPr>
        <w:ind w:left="150"/>
      </w:pPr>
      <w:r w:rsidRPr="001B02BA">
        <w:t xml:space="preserve">Os dados foram coletados através do site </w:t>
      </w:r>
      <w:proofErr w:type="spellStart"/>
      <w:r w:rsidRPr="001B02BA">
        <w:t>Numbeo</w:t>
      </w:r>
      <w:proofErr w:type="spellEnd"/>
      <w:r w:rsidRPr="001B02BA">
        <w:t xml:space="preserve">, que utiliza uma metodologia de </w:t>
      </w:r>
      <w:proofErr w:type="spellStart"/>
      <w:r w:rsidRPr="001B02BA">
        <w:t>crowdsourcing</w:t>
      </w:r>
      <w:proofErr w:type="spellEnd"/>
      <w:r w:rsidRPr="001B02BA">
        <w:t xml:space="preserve"> para reunir informações de custo de vida de várias cidades ao redor do mundo. O índice de cada cidade é calculado com base em preços coletados para uma cesta padrão de bens e serviços. A seguir, apresentamos os dados analisados para alguns dos principais índices de custo de vida.</w:t>
      </w:r>
    </w:p>
    <w:p w14:paraId="5E3825EC" w14:textId="77777777" w:rsidR="001B02BA" w:rsidRDefault="001B02BA" w:rsidP="001B02BA">
      <w:pPr>
        <w:ind w:left="150"/>
      </w:pPr>
    </w:p>
    <w:p w14:paraId="5A461B9B" w14:textId="11A88466" w:rsidR="001B02BA" w:rsidRPr="001B02BA" w:rsidRDefault="001B02BA">
      <w:pPr>
        <w:ind w:left="190"/>
        <w:rPr>
          <w:b/>
          <w:szCs w:val="18"/>
        </w:rPr>
      </w:pPr>
      <w:r w:rsidRPr="001B02BA">
        <w:rPr>
          <w:b/>
          <w:szCs w:val="18"/>
        </w:rPr>
        <w:t>Resultados</w:t>
      </w:r>
    </w:p>
    <w:p w14:paraId="263DCD6C" w14:textId="62AF91A4" w:rsidR="001B02BA" w:rsidRDefault="001B02BA" w:rsidP="00C5631B">
      <w:pPr>
        <w:ind w:left="190"/>
        <w:rPr>
          <w:bCs/>
          <w:szCs w:val="18"/>
        </w:rPr>
      </w:pPr>
      <w:r w:rsidRPr="001B02BA">
        <w:rPr>
          <w:bCs/>
          <w:szCs w:val="18"/>
        </w:rPr>
        <w:t>Os índices de custo de vida (excluindo aluguel) variam amplamente entre os países analisados. A Tabela 1 apresenta alguns exemplos</w:t>
      </w:r>
    </w:p>
    <w:p w14:paraId="2643DE96" w14:textId="77777777" w:rsidR="00C5631B" w:rsidRPr="00C5631B" w:rsidRDefault="00C5631B" w:rsidP="00C5631B">
      <w:pPr>
        <w:ind w:left="190"/>
        <w:rPr>
          <w:bCs/>
          <w:szCs w:val="18"/>
        </w:rPr>
      </w:pPr>
    </w:p>
    <w:p w14:paraId="412FE313" w14:textId="76D168D5" w:rsidR="001B02BA" w:rsidRDefault="00C5631B" w:rsidP="00C5631B">
      <w:pPr>
        <w:spacing w:after="108" w:line="259" w:lineRule="auto"/>
        <w:ind w:left="2010" w:hanging="1076"/>
        <w:jc w:val="left"/>
        <w:rPr>
          <w:i/>
          <w:color w:val="000000"/>
          <w:sz w:val="17"/>
        </w:rPr>
      </w:pPr>
      <w:r w:rsidRPr="001B02BA">
        <w:rPr>
          <w:i/>
          <w:color w:val="000000"/>
          <w:sz w:val="17"/>
        </w:rPr>
        <w:drawing>
          <wp:anchor distT="0" distB="0" distL="114300" distR="114300" simplePos="0" relativeHeight="251659264" behindDoc="0" locked="0" layoutInCell="1" allowOverlap="1" wp14:anchorId="48671FA8" wp14:editId="665D9464">
            <wp:simplePos x="0" y="0"/>
            <wp:positionH relativeFrom="column">
              <wp:posOffset>165735</wp:posOffset>
            </wp:positionH>
            <wp:positionV relativeFrom="paragraph">
              <wp:posOffset>231775</wp:posOffset>
            </wp:positionV>
            <wp:extent cx="3016250" cy="1500505"/>
            <wp:effectExtent l="0" t="0" r="0" b="444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16250" cy="1500505"/>
                    </a:xfrm>
                    <a:prstGeom prst="rect">
                      <a:avLst/>
                    </a:prstGeom>
                  </pic:spPr>
                </pic:pic>
              </a:graphicData>
            </a:graphic>
          </wp:anchor>
        </w:drawing>
      </w:r>
      <w:r w:rsidR="00CA4494">
        <w:rPr>
          <w:b/>
          <w:color w:val="000000"/>
          <w:sz w:val="17"/>
        </w:rPr>
        <w:t>Tabela 1</w:t>
      </w:r>
      <w:r w:rsidR="00CA4494">
        <w:rPr>
          <w:b/>
          <w:color w:val="000000"/>
          <w:sz w:val="17"/>
        </w:rPr>
        <w:t>:</w:t>
      </w:r>
      <w:r w:rsidRPr="00C5631B">
        <w:t xml:space="preserve"> </w:t>
      </w:r>
      <w:r w:rsidRPr="00C5631B">
        <w:rPr>
          <w:bCs/>
          <w:color w:val="000000"/>
          <w:sz w:val="17"/>
        </w:rPr>
        <w:t>Índice de Custo de Vida (Excluindo Aluguel)</w:t>
      </w:r>
    </w:p>
    <w:p w14:paraId="7AB0C1EA" w14:textId="77777777" w:rsidR="00C5631B" w:rsidRDefault="00C5631B" w:rsidP="00C5631B">
      <w:pPr>
        <w:ind w:left="190"/>
        <w:rPr>
          <w:i/>
          <w:color w:val="000000"/>
          <w:sz w:val="17"/>
        </w:rPr>
      </w:pPr>
    </w:p>
    <w:p w14:paraId="484BEE73" w14:textId="04733A57" w:rsidR="001B02BA" w:rsidRDefault="00C5631B" w:rsidP="00C5631B">
      <w:pPr>
        <w:ind w:left="190"/>
        <w:rPr>
          <w:i/>
          <w:color w:val="000000"/>
          <w:sz w:val="17"/>
        </w:rPr>
      </w:pPr>
      <w:r w:rsidRPr="00C5631B">
        <w:rPr>
          <w:i/>
          <w:color w:val="000000"/>
          <w:sz w:val="17"/>
        </w:rPr>
        <w:t>Os índices de aluguel também mostram uma grande variação</w:t>
      </w:r>
    </w:p>
    <w:p w14:paraId="001512D7" w14:textId="4C95BE07" w:rsidR="00C5631B" w:rsidRPr="00C5631B" w:rsidRDefault="00C5631B" w:rsidP="00C5631B">
      <w:pPr>
        <w:ind w:left="898" w:firstLine="0"/>
        <w:rPr>
          <w:i/>
          <w:color w:val="000000"/>
          <w:sz w:val="17"/>
        </w:rPr>
      </w:pPr>
      <w:r w:rsidRPr="00C5631B">
        <w:rPr>
          <w:b/>
          <w:color w:val="000000"/>
          <w:sz w:val="17"/>
        </w:rPr>
        <w:drawing>
          <wp:anchor distT="0" distB="0" distL="114300" distR="114300" simplePos="0" relativeHeight="251660288" behindDoc="0" locked="0" layoutInCell="1" allowOverlap="1" wp14:anchorId="4DE42F8A" wp14:editId="70092F40">
            <wp:simplePos x="0" y="0"/>
            <wp:positionH relativeFrom="column">
              <wp:posOffset>146685</wp:posOffset>
            </wp:positionH>
            <wp:positionV relativeFrom="paragraph">
              <wp:posOffset>252730</wp:posOffset>
            </wp:positionV>
            <wp:extent cx="3016250" cy="1221105"/>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16250" cy="1221105"/>
                    </a:xfrm>
                    <a:prstGeom prst="rect">
                      <a:avLst/>
                    </a:prstGeom>
                  </pic:spPr>
                </pic:pic>
              </a:graphicData>
            </a:graphic>
          </wp:anchor>
        </w:drawing>
      </w:r>
      <w:r>
        <w:rPr>
          <w:b/>
          <w:color w:val="000000"/>
          <w:sz w:val="17"/>
        </w:rPr>
        <w:t xml:space="preserve">    </w:t>
      </w:r>
      <w:r>
        <w:rPr>
          <w:b/>
          <w:color w:val="000000"/>
          <w:sz w:val="17"/>
        </w:rPr>
        <w:t xml:space="preserve">Tabela </w:t>
      </w:r>
      <w:r>
        <w:rPr>
          <w:b/>
          <w:color w:val="000000"/>
          <w:sz w:val="17"/>
        </w:rPr>
        <w:t>2</w:t>
      </w:r>
      <w:r>
        <w:rPr>
          <w:b/>
          <w:color w:val="000000"/>
          <w:sz w:val="17"/>
        </w:rPr>
        <w:t xml:space="preserve">: </w:t>
      </w:r>
      <w:r w:rsidRPr="00C5631B">
        <w:rPr>
          <w:i/>
          <w:color w:val="000000"/>
          <w:sz w:val="17"/>
        </w:rPr>
        <w:t>Índice de Aluguel</w:t>
      </w:r>
    </w:p>
    <w:p w14:paraId="3A2EAEBE" w14:textId="4380841E" w:rsidR="00C5631B" w:rsidRDefault="00C5631B" w:rsidP="00C5631B">
      <w:pPr>
        <w:spacing w:after="108" w:line="259" w:lineRule="auto"/>
        <w:ind w:left="2010" w:hanging="1076"/>
        <w:jc w:val="left"/>
        <w:rPr>
          <w:i/>
          <w:color w:val="000000"/>
          <w:sz w:val="17"/>
        </w:rPr>
      </w:pPr>
    </w:p>
    <w:p w14:paraId="4D546836" w14:textId="66279453" w:rsidR="00C5631B" w:rsidRDefault="00C5631B" w:rsidP="00C5631B">
      <w:pPr>
        <w:ind w:left="190"/>
        <w:rPr>
          <w:i/>
          <w:color w:val="000000"/>
          <w:sz w:val="17"/>
        </w:rPr>
      </w:pPr>
    </w:p>
    <w:p w14:paraId="3279E4AF" w14:textId="77777777" w:rsidR="00C5631B" w:rsidRDefault="00C5631B" w:rsidP="00C5631B">
      <w:pPr>
        <w:ind w:left="0" w:firstLine="708"/>
        <w:rPr>
          <w:b/>
          <w:color w:val="000000"/>
          <w:sz w:val="17"/>
        </w:rPr>
      </w:pPr>
    </w:p>
    <w:p w14:paraId="2E22C770" w14:textId="77777777" w:rsidR="00C5631B" w:rsidRDefault="00C5631B" w:rsidP="00C5631B">
      <w:pPr>
        <w:ind w:left="0" w:firstLine="708"/>
        <w:rPr>
          <w:b/>
          <w:color w:val="000000"/>
          <w:sz w:val="17"/>
        </w:rPr>
      </w:pPr>
    </w:p>
    <w:p w14:paraId="534BD0F3" w14:textId="67AF4BF7" w:rsidR="00C5631B" w:rsidRDefault="00C5631B" w:rsidP="00C5631B">
      <w:pPr>
        <w:ind w:left="0" w:firstLine="0"/>
        <w:rPr>
          <w:i/>
          <w:color w:val="000000"/>
          <w:sz w:val="17"/>
        </w:rPr>
      </w:pPr>
      <w:r w:rsidRPr="00C5631B">
        <w:rPr>
          <w:i/>
          <w:color w:val="000000"/>
          <w:sz w:val="17"/>
        </w:rPr>
        <w:t>Este índice combina os custos de bens de consumo com aluguel</w:t>
      </w:r>
    </w:p>
    <w:p w14:paraId="47EB6D04" w14:textId="0BCB1F56" w:rsidR="00745D41" w:rsidRDefault="00745D41" w:rsidP="00C5631B">
      <w:pPr>
        <w:ind w:left="0" w:firstLine="0"/>
        <w:rPr>
          <w:i/>
          <w:color w:val="000000"/>
          <w:sz w:val="17"/>
        </w:rPr>
      </w:pPr>
    </w:p>
    <w:p w14:paraId="764CCE3E" w14:textId="4E3AA1C1" w:rsidR="00C5631B" w:rsidRDefault="00C5631B" w:rsidP="00745D41">
      <w:pPr>
        <w:ind w:left="0" w:firstLine="708"/>
        <w:rPr>
          <w:i/>
          <w:color w:val="000000"/>
          <w:sz w:val="17"/>
        </w:rPr>
      </w:pPr>
      <w:r>
        <w:rPr>
          <w:b/>
          <w:color w:val="000000"/>
          <w:sz w:val="17"/>
        </w:rPr>
        <w:t xml:space="preserve">Tabela </w:t>
      </w:r>
      <w:r w:rsidR="00745D41">
        <w:rPr>
          <w:b/>
          <w:color w:val="000000"/>
          <w:sz w:val="17"/>
        </w:rPr>
        <w:t>3</w:t>
      </w:r>
      <w:r>
        <w:rPr>
          <w:b/>
          <w:color w:val="000000"/>
          <w:sz w:val="17"/>
        </w:rPr>
        <w:t>:</w:t>
      </w:r>
      <w:r w:rsidRPr="00C5631B">
        <w:t xml:space="preserve"> </w:t>
      </w:r>
      <w:r w:rsidRPr="00C5631B">
        <w:rPr>
          <w:i/>
          <w:color w:val="000000"/>
          <w:sz w:val="17"/>
        </w:rPr>
        <w:t>Índice de Custo de Vida + Aluguel</w:t>
      </w:r>
    </w:p>
    <w:p w14:paraId="1C30C4EE" w14:textId="06DC9229" w:rsidR="00745D41" w:rsidRDefault="00745D41" w:rsidP="00745D41">
      <w:pPr>
        <w:ind w:left="0" w:firstLine="0"/>
        <w:rPr>
          <w:i/>
          <w:color w:val="000000"/>
          <w:sz w:val="17"/>
        </w:rPr>
      </w:pPr>
      <w:r w:rsidRPr="00C5631B">
        <w:rPr>
          <w:i/>
          <w:color w:val="000000"/>
          <w:sz w:val="17"/>
        </w:rPr>
        <w:drawing>
          <wp:inline distT="0" distB="0" distL="0" distR="0" wp14:anchorId="54772922" wp14:editId="2AADBC38">
            <wp:extent cx="3016250" cy="14173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6250" cy="1417320"/>
                    </a:xfrm>
                    <a:prstGeom prst="rect">
                      <a:avLst/>
                    </a:prstGeom>
                  </pic:spPr>
                </pic:pic>
              </a:graphicData>
            </a:graphic>
          </wp:inline>
        </w:drawing>
      </w:r>
      <w:r w:rsidR="001E7BBC" w:rsidRPr="001E7BBC">
        <w:rPr>
          <w:noProof/>
        </w:rPr>
        <w:t xml:space="preserve"> </w:t>
      </w:r>
    </w:p>
    <w:p w14:paraId="71AA9168" w14:textId="7B537864" w:rsidR="00745D41" w:rsidRDefault="00745D41" w:rsidP="00745D41">
      <w:pPr>
        <w:ind w:left="0" w:firstLine="0"/>
        <w:rPr>
          <w:i/>
          <w:color w:val="000000"/>
          <w:sz w:val="17"/>
        </w:rPr>
      </w:pPr>
      <w:r w:rsidRPr="00745D41">
        <w:rPr>
          <w:i/>
          <w:color w:val="000000"/>
          <w:sz w:val="17"/>
        </w:rPr>
        <w:t>O poder de compra local em relação a NYC</w:t>
      </w:r>
    </w:p>
    <w:p w14:paraId="3D8327CE" w14:textId="77777777" w:rsidR="00745D41" w:rsidRDefault="00745D41" w:rsidP="00745D41">
      <w:pPr>
        <w:ind w:left="0" w:firstLine="708"/>
        <w:rPr>
          <w:b/>
          <w:color w:val="000000"/>
          <w:sz w:val="17"/>
        </w:rPr>
      </w:pPr>
    </w:p>
    <w:p w14:paraId="57533297" w14:textId="05DD79EC" w:rsidR="00745D41" w:rsidRPr="001E7BBC" w:rsidRDefault="001E7BBC" w:rsidP="001E7BBC">
      <w:pPr>
        <w:ind w:left="0" w:firstLine="708"/>
        <w:rPr>
          <w:i/>
          <w:iCs/>
        </w:rPr>
      </w:pPr>
      <w:r w:rsidRPr="001E7BBC">
        <w:rPr>
          <w:i/>
          <w:color w:val="000000"/>
          <w:sz w:val="17"/>
        </w:rPr>
        <w:drawing>
          <wp:anchor distT="0" distB="0" distL="114300" distR="114300" simplePos="0" relativeHeight="251662336" behindDoc="0" locked="0" layoutInCell="1" allowOverlap="1" wp14:anchorId="52154D1D" wp14:editId="017560DD">
            <wp:simplePos x="0" y="0"/>
            <wp:positionH relativeFrom="column">
              <wp:align>right</wp:align>
            </wp:positionH>
            <wp:positionV relativeFrom="paragraph">
              <wp:posOffset>220345</wp:posOffset>
            </wp:positionV>
            <wp:extent cx="3016250" cy="1558925"/>
            <wp:effectExtent l="0" t="0" r="0" b="317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6250" cy="1558925"/>
                    </a:xfrm>
                    <a:prstGeom prst="rect">
                      <a:avLst/>
                    </a:prstGeom>
                  </pic:spPr>
                </pic:pic>
              </a:graphicData>
            </a:graphic>
          </wp:anchor>
        </w:drawing>
      </w:r>
      <w:r w:rsidR="00745D41">
        <w:rPr>
          <w:b/>
          <w:color w:val="000000"/>
          <w:sz w:val="17"/>
        </w:rPr>
        <w:t xml:space="preserve">Tabela </w:t>
      </w:r>
      <w:r w:rsidR="00745D41">
        <w:rPr>
          <w:b/>
          <w:color w:val="000000"/>
          <w:sz w:val="17"/>
        </w:rPr>
        <w:t>4</w:t>
      </w:r>
      <w:r w:rsidR="00745D41">
        <w:rPr>
          <w:b/>
          <w:color w:val="000000"/>
          <w:sz w:val="17"/>
        </w:rPr>
        <w:t>:</w:t>
      </w:r>
      <w:r w:rsidR="00745D41" w:rsidRPr="00C5631B">
        <w:t xml:space="preserve"> </w:t>
      </w:r>
      <w:r w:rsidR="00745D41" w:rsidRPr="00745D41">
        <w:rPr>
          <w:i/>
          <w:iCs/>
        </w:rPr>
        <w:t>Poder de Compra Local</w:t>
      </w:r>
      <w:r w:rsidR="00745D41" w:rsidRPr="00C5631B">
        <w:rPr>
          <w:i/>
          <w:color w:val="000000"/>
          <w:sz w:val="17"/>
        </w:rPr>
        <w:drawing>
          <wp:anchor distT="0" distB="0" distL="114300" distR="114300" simplePos="0" relativeHeight="251661312" behindDoc="0" locked="0" layoutInCell="1" allowOverlap="1" wp14:anchorId="59E88223" wp14:editId="655C6AA1">
            <wp:simplePos x="0" y="0"/>
            <wp:positionH relativeFrom="column">
              <wp:align>right</wp:align>
            </wp:positionH>
            <wp:positionV relativeFrom="paragraph">
              <wp:posOffset>1470025</wp:posOffset>
            </wp:positionV>
            <wp:extent cx="3016250" cy="1417320"/>
            <wp:effectExtent l="0" t="0" r="0" b="0"/>
            <wp:wrapThrough wrapText="bothSides">
              <wp:wrapPolygon edited="0">
                <wp:start x="0" y="0"/>
                <wp:lineTo x="0" y="21194"/>
                <wp:lineTo x="21418" y="21194"/>
                <wp:lineTo x="21418" y="0"/>
                <wp:lineTo x="0" y="0"/>
              </wp:wrapPolygon>
            </wp:wrapThrough>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16250" cy="1417320"/>
                    </a:xfrm>
                    <a:prstGeom prst="rect">
                      <a:avLst/>
                    </a:prstGeom>
                  </pic:spPr>
                </pic:pic>
              </a:graphicData>
            </a:graphic>
          </wp:anchor>
        </w:drawing>
      </w:r>
    </w:p>
    <w:p w14:paraId="185A9EF4" w14:textId="5C6D201A" w:rsidR="00C5631B" w:rsidRPr="00C5631B" w:rsidRDefault="00C5631B" w:rsidP="001E7BBC">
      <w:pPr>
        <w:ind w:left="0" w:firstLine="0"/>
        <w:rPr>
          <w:i/>
          <w:color w:val="000000"/>
          <w:sz w:val="17"/>
        </w:rPr>
        <w:sectPr w:rsidR="00C5631B" w:rsidRPr="00C5631B">
          <w:type w:val="continuous"/>
          <w:pgSz w:w="11906" w:h="16820"/>
          <w:pgMar w:top="564" w:right="1102" w:bottom="764" w:left="1130" w:header="720" w:footer="720" w:gutter="0"/>
          <w:cols w:num="2" w:space="174"/>
        </w:sectPr>
      </w:pPr>
    </w:p>
    <w:p w14:paraId="0123A8B7" w14:textId="33CA3D73" w:rsidR="001E7BBC" w:rsidRPr="001B02BA" w:rsidRDefault="001E7BBC" w:rsidP="001E7BBC">
      <w:pPr>
        <w:spacing w:after="120" w:line="259" w:lineRule="auto"/>
        <w:ind w:left="135"/>
        <w:jc w:val="left"/>
        <w:rPr>
          <w:b/>
          <w:bCs/>
        </w:rPr>
      </w:pPr>
      <w:r w:rsidRPr="001E7BBC">
        <w:rPr>
          <w:b/>
          <w:bCs/>
        </w:rPr>
        <w:t>Discussão</w:t>
      </w:r>
    </w:p>
    <w:p w14:paraId="500C1AC5" w14:textId="6F90E00C" w:rsidR="001E7BBC" w:rsidRDefault="001E7BBC" w:rsidP="001E7BBC">
      <w:pPr>
        <w:ind w:left="150"/>
      </w:pPr>
      <w:r w:rsidRPr="001E7BBC">
        <w:t>Os dados mostram que países como a Suíça e a Noruega têm custos de vida significativamente mais altos do que NYC, enquanto países como Brasil e Índia têm custos de vida consideravelmente mais baixos. No entanto, o poder de compra local também varia, refletindo as diferenças nos salários médios e no custo de vida.</w:t>
      </w:r>
    </w:p>
    <w:p w14:paraId="23F010B1" w14:textId="4BBD122B" w:rsidR="001E7BBC" w:rsidRDefault="001E7BBC" w:rsidP="001E7BBC">
      <w:pPr>
        <w:ind w:left="150"/>
      </w:pPr>
    </w:p>
    <w:p w14:paraId="2F6EDA7B" w14:textId="62C8DB97" w:rsidR="001E7BBC" w:rsidRDefault="001E7BBC" w:rsidP="001E7BBC">
      <w:pPr>
        <w:ind w:left="150"/>
        <w:rPr>
          <w:b/>
          <w:bCs/>
        </w:rPr>
      </w:pPr>
      <w:r w:rsidRPr="001E7BBC">
        <w:rPr>
          <w:b/>
          <w:bCs/>
        </w:rPr>
        <w:t>Conclusão</w:t>
      </w:r>
    </w:p>
    <w:p w14:paraId="4E9D0C51" w14:textId="15EC2F7B" w:rsidR="001E7BBC" w:rsidRDefault="001E7BBC" w:rsidP="001E7BBC">
      <w:pPr>
        <w:ind w:left="150"/>
      </w:pPr>
      <w:r w:rsidRPr="001E7BBC">
        <w:t>Esta análise do índice de custo de vida por país para o meio do ano de 2024 fornece uma visão valiosa sobre as diferenças de custo de vida ao redor do mundo. Estes índices são úteis para indivíduos e organizações ao considerar mudanças de localização ou ao planejar viagens.</w:t>
      </w:r>
    </w:p>
    <w:p w14:paraId="20E64306" w14:textId="3CA5FFA4" w:rsidR="001E7BBC" w:rsidRDefault="001E7BBC" w:rsidP="001E7BBC">
      <w:pPr>
        <w:ind w:left="150"/>
      </w:pPr>
    </w:p>
    <w:p w14:paraId="474D14D6" w14:textId="199C0D08" w:rsidR="001E7BBC" w:rsidRDefault="001E7BBC" w:rsidP="001E7BBC">
      <w:pPr>
        <w:ind w:left="150"/>
        <w:rPr>
          <w:b/>
          <w:bCs/>
        </w:rPr>
      </w:pPr>
      <w:r w:rsidRPr="001E7BBC">
        <w:rPr>
          <w:b/>
          <w:bCs/>
        </w:rPr>
        <w:t>Referências</w:t>
      </w:r>
    </w:p>
    <w:p w14:paraId="12ACADC5" w14:textId="67100B0F" w:rsidR="001E7BBC" w:rsidRPr="001E7BBC" w:rsidRDefault="001E7BBC" w:rsidP="001E7BBC">
      <w:pPr>
        <w:ind w:left="150"/>
      </w:pPr>
      <w:proofErr w:type="spellStart"/>
      <w:r w:rsidRPr="001E7BBC">
        <w:rPr>
          <w:lang w:val="en-US"/>
        </w:rPr>
        <w:t>Numbeo</w:t>
      </w:r>
      <w:proofErr w:type="spellEnd"/>
      <w:r w:rsidRPr="001E7BBC">
        <w:rPr>
          <w:lang w:val="en-US"/>
        </w:rPr>
        <w:t xml:space="preserve">. (2024). Cost of Living Index by Country. </w:t>
      </w:r>
      <w:r w:rsidRPr="001E7BBC">
        <w:t xml:space="preserve">Disponível em: </w:t>
      </w:r>
      <w:proofErr w:type="spellStart"/>
      <w:r w:rsidRPr="001E7BBC">
        <w:t>Numbeo</w:t>
      </w:r>
      <w:proofErr w:type="spellEnd"/>
      <w:r w:rsidRPr="001E7BBC">
        <w:t xml:space="preserve"> </w:t>
      </w:r>
      <w:proofErr w:type="spellStart"/>
      <w:r w:rsidRPr="001E7BBC">
        <w:t>Cost</w:t>
      </w:r>
      <w:proofErr w:type="spellEnd"/>
      <w:r w:rsidRPr="001E7BBC">
        <w:t xml:space="preserve"> </w:t>
      </w:r>
      <w:proofErr w:type="spellStart"/>
      <w:r w:rsidRPr="001E7BBC">
        <w:t>of</w:t>
      </w:r>
      <w:proofErr w:type="spellEnd"/>
      <w:r w:rsidRPr="001E7BBC">
        <w:t xml:space="preserve"> Living</w:t>
      </w:r>
    </w:p>
    <w:p w14:paraId="0F592E2F" w14:textId="6B4D87A8" w:rsidR="001E7BBC" w:rsidRDefault="001E7BBC" w:rsidP="001E7BBC">
      <w:pPr>
        <w:ind w:left="150"/>
      </w:pPr>
    </w:p>
    <w:p w14:paraId="185A15EB" w14:textId="5307A2C6" w:rsidR="001E7BBC" w:rsidRDefault="001E7BBC" w:rsidP="001E7BBC">
      <w:pPr>
        <w:ind w:left="150"/>
      </w:pPr>
    </w:p>
    <w:p w14:paraId="66FC6DEE" w14:textId="7D1221CB" w:rsidR="001E7BBC" w:rsidRDefault="001E7BBC" w:rsidP="001E7BBC">
      <w:pPr>
        <w:ind w:left="150"/>
      </w:pPr>
    </w:p>
    <w:p w14:paraId="3BA75CE3" w14:textId="1EA338EC" w:rsidR="001E7BBC" w:rsidRDefault="001E7BBC" w:rsidP="001E7BBC">
      <w:pPr>
        <w:ind w:left="150"/>
      </w:pPr>
    </w:p>
    <w:p w14:paraId="76CB8202" w14:textId="7847837B" w:rsidR="001E7BBC" w:rsidRDefault="001E7BBC" w:rsidP="001E7BBC">
      <w:pPr>
        <w:ind w:left="150"/>
      </w:pPr>
    </w:p>
    <w:p w14:paraId="6A8BF028" w14:textId="15890CB8" w:rsidR="001E7BBC" w:rsidRDefault="001E7BBC" w:rsidP="001E7BBC">
      <w:pPr>
        <w:ind w:left="150"/>
      </w:pPr>
    </w:p>
    <w:p w14:paraId="45B9AEAF" w14:textId="7F6F401E" w:rsidR="001E7BBC" w:rsidRDefault="001E7BBC" w:rsidP="001E7BBC">
      <w:pPr>
        <w:ind w:left="150"/>
      </w:pPr>
    </w:p>
    <w:p w14:paraId="69FBC937" w14:textId="7B6328CE" w:rsidR="001E7BBC" w:rsidRDefault="001E7BBC" w:rsidP="001E7BBC">
      <w:pPr>
        <w:ind w:left="150"/>
      </w:pPr>
    </w:p>
    <w:p w14:paraId="26216145" w14:textId="699D6669" w:rsidR="001E7BBC" w:rsidRDefault="001E7BBC" w:rsidP="001E7BBC">
      <w:pPr>
        <w:ind w:left="150"/>
      </w:pPr>
    </w:p>
    <w:p w14:paraId="566EBBE2" w14:textId="712AC2F6" w:rsidR="001E7BBC" w:rsidRDefault="001E7BBC" w:rsidP="001E7BBC">
      <w:pPr>
        <w:ind w:left="150"/>
      </w:pPr>
    </w:p>
    <w:p w14:paraId="10864CDC" w14:textId="0B3F4035" w:rsidR="001E7BBC" w:rsidRDefault="001E7BBC" w:rsidP="001E7BBC">
      <w:pPr>
        <w:ind w:left="150"/>
      </w:pPr>
    </w:p>
    <w:p w14:paraId="148EF225" w14:textId="4AEC3475" w:rsidR="001E7BBC" w:rsidRDefault="001E7BBC" w:rsidP="001E7BBC">
      <w:pPr>
        <w:ind w:left="150"/>
      </w:pPr>
    </w:p>
    <w:p w14:paraId="62A53D20" w14:textId="7826DF8B" w:rsidR="001E7BBC" w:rsidRDefault="001E7BBC" w:rsidP="001E7BBC">
      <w:pPr>
        <w:ind w:left="150"/>
      </w:pPr>
    </w:p>
    <w:p w14:paraId="065ADF6B" w14:textId="6739D287" w:rsidR="001E7BBC" w:rsidRDefault="001E7BBC" w:rsidP="001E7BBC">
      <w:pPr>
        <w:ind w:left="150"/>
      </w:pPr>
    </w:p>
    <w:p w14:paraId="64185E72" w14:textId="77777777" w:rsidR="001E7BBC" w:rsidRPr="001E7BBC" w:rsidRDefault="001E7BBC" w:rsidP="001E7BBC">
      <w:pPr>
        <w:ind w:left="150"/>
      </w:pPr>
    </w:p>
    <w:p w14:paraId="2083B807" w14:textId="7C9B07D9" w:rsidR="00FF21EF" w:rsidRDefault="00FF21EF" w:rsidP="00C5631B">
      <w:pPr>
        <w:spacing w:after="0" w:line="259" w:lineRule="auto"/>
        <w:ind w:left="0" w:firstLine="0"/>
        <w:jc w:val="left"/>
      </w:pPr>
    </w:p>
    <w:sectPr w:rsidR="00FF21EF" w:rsidSect="001E7BBC">
      <w:type w:val="continuous"/>
      <w:pgSz w:w="11906" w:h="16820"/>
      <w:pgMar w:top="1440" w:right="1080" w:bottom="1440" w:left="1080" w:header="720" w:footer="720" w:gutter="0"/>
      <w:cols w:num="2"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1789B"/>
    <w:multiLevelType w:val="hybridMultilevel"/>
    <w:tmpl w:val="4DAAD316"/>
    <w:lvl w:ilvl="0" w:tplc="86A29E52">
      <w:start w:val="1"/>
      <w:numFmt w:val="bullet"/>
      <w:lvlText w:val="•"/>
      <w:lvlJc w:val="left"/>
      <w:pPr>
        <w:ind w:left="572"/>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1" w:tplc="49AC9C14">
      <w:start w:val="1"/>
      <w:numFmt w:val="bullet"/>
      <w:lvlText w:val="o"/>
      <w:lvlJc w:val="left"/>
      <w:pPr>
        <w:ind w:left="141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2" w:tplc="2C8672AA">
      <w:start w:val="1"/>
      <w:numFmt w:val="bullet"/>
      <w:lvlText w:val="▪"/>
      <w:lvlJc w:val="left"/>
      <w:pPr>
        <w:ind w:left="213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3" w:tplc="4DB217B0">
      <w:start w:val="1"/>
      <w:numFmt w:val="bullet"/>
      <w:lvlText w:val="•"/>
      <w:lvlJc w:val="left"/>
      <w:pPr>
        <w:ind w:left="285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4" w:tplc="FD6017AA">
      <w:start w:val="1"/>
      <w:numFmt w:val="bullet"/>
      <w:lvlText w:val="o"/>
      <w:lvlJc w:val="left"/>
      <w:pPr>
        <w:ind w:left="357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5" w:tplc="330EF3FE">
      <w:start w:val="1"/>
      <w:numFmt w:val="bullet"/>
      <w:lvlText w:val="▪"/>
      <w:lvlJc w:val="left"/>
      <w:pPr>
        <w:ind w:left="429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6" w:tplc="22B25FCC">
      <w:start w:val="1"/>
      <w:numFmt w:val="bullet"/>
      <w:lvlText w:val="•"/>
      <w:lvlJc w:val="left"/>
      <w:pPr>
        <w:ind w:left="501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7" w:tplc="8E748D26">
      <w:start w:val="1"/>
      <w:numFmt w:val="bullet"/>
      <w:lvlText w:val="o"/>
      <w:lvlJc w:val="left"/>
      <w:pPr>
        <w:ind w:left="573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8" w:tplc="6AA48A0C">
      <w:start w:val="1"/>
      <w:numFmt w:val="bullet"/>
      <w:lvlText w:val="▪"/>
      <w:lvlJc w:val="left"/>
      <w:pPr>
        <w:ind w:left="645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1EF"/>
    <w:rsid w:val="001B02BA"/>
    <w:rsid w:val="001E7BBC"/>
    <w:rsid w:val="00745D41"/>
    <w:rsid w:val="008154FF"/>
    <w:rsid w:val="00C5631B"/>
    <w:rsid w:val="00CA4494"/>
    <w:rsid w:val="00FF21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46FA"/>
  <w15:docId w15:val="{BCC85930-701D-40C1-9C31-82EFD23C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314" w:lineRule="auto"/>
      <w:ind w:left="14" w:hanging="10"/>
      <w:jc w:val="both"/>
    </w:pPr>
    <w:rPr>
      <w:rFonts w:ascii="Calibri" w:eastAsia="Calibri" w:hAnsi="Calibri" w:cs="Calibri"/>
      <w:color w:val="162129"/>
      <w:sz w:val="18"/>
    </w:rPr>
  </w:style>
  <w:style w:type="paragraph" w:styleId="Ttulo1">
    <w:name w:val="heading 1"/>
    <w:next w:val="Normal"/>
    <w:link w:val="Ttulo1Char"/>
    <w:uiPriority w:val="9"/>
    <w:qFormat/>
    <w:pPr>
      <w:keepNext/>
      <w:keepLines/>
      <w:spacing w:after="0"/>
      <w:ind w:left="50"/>
      <w:outlineLvl w:val="0"/>
    </w:pPr>
    <w:rPr>
      <w:rFonts w:ascii="Calibri" w:eastAsia="Calibri" w:hAnsi="Calibri" w:cs="Calibri"/>
      <w:b/>
      <w:color w:val="162129"/>
      <w:sz w:val="28"/>
    </w:rPr>
  </w:style>
  <w:style w:type="paragraph" w:styleId="Ttulo2">
    <w:name w:val="heading 2"/>
    <w:next w:val="Normal"/>
    <w:link w:val="Ttulo2Char"/>
    <w:uiPriority w:val="9"/>
    <w:unhideWhenUsed/>
    <w:qFormat/>
    <w:pPr>
      <w:keepNext/>
      <w:keepLines/>
      <w:spacing w:after="388"/>
      <w:ind w:left="511"/>
      <w:jc w:val="center"/>
      <w:outlineLvl w:val="1"/>
    </w:pPr>
    <w:rPr>
      <w:rFonts w:ascii="Calibri" w:eastAsia="Calibri" w:hAnsi="Calibri" w:cs="Calibri"/>
      <w:color w:val="000000"/>
      <w:sz w:val="14"/>
    </w:rPr>
  </w:style>
  <w:style w:type="paragraph" w:styleId="Ttulo3">
    <w:name w:val="heading 3"/>
    <w:basedOn w:val="Normal"/>
    <w:next w:val="Normal"/>
    <w:link w:val="Ttulo3Char"/>
    <w:uiPriority w:val="9"/>
    <w:semiHidden/>
    <w:unhideWhenUsed/>
    <w:qFormat/>
    <w:rsid w:val="00C56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color w:val="000000"/>
      <w:sz w:val="14"/>
    </w:rPr>
  </w:style>
  <w:style w:type="character" w:customStyle="1" w:styleId="Ttulo1Char">
    <w:name w:val="Título 1 Char"/>
    <w:link w:val="Ttulo1"/>
    <w:rPr>
      <w:rFonts w:ascii="Calibri" w:eastAsia="Calibri" w:hAnsi="Calibri" w:cs="Calibri"/>
      <w:b/>
      <w:color w:val="16212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1B02BA"/>
    <w:pPr>
      <w:ind w:left="720"/>
      <w:contextualSpacing/>
    </w:pPr>
  </w:style>
  <w:style w:type="character" w:customStyle="1" w:styleId="Ttulo3Char">
    <w:name w:val="Título 3 Char"/>
    <w:basedOn w:val="Fontepargpadro"/>
    <w:link w:val="Ttulo3"/>
    <w:uiPriority w:val="9"/>
    <w:semiHidden/>
    <w:rsid w:val="00C563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58528">
      <w:bodyDiv w:val="1"/>
      <w:marLeft w:val="0"/>
      <w:marRight w:val="0"/>
      <w:marTop w:val="0"/>
      <w:marBottom w:val="0"/>
      <w:divBdr>
        <w:top w:val="none" w:sz="0" w:space="0" w:color="auto"/>
        <w:left w:val="none" w:sz="0" w:space="0" w:color="auto"/>
        <w:bottom w:val="none" w:sz="0" w:space="0" w:color="auto"/>
        <w:right w:val="none" w:sz="0" w:space="0" w:color="auto"/>
      </w:divBdr>
    </w:div>
    <w:div w:id="1073284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2967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Gomes</dc:creator>
  <cp:keywords/>
  <cp:lastModifiedBy>Ciro Gomes</cp:lastModifiedBy>
  <cp:revision>2</cp:revision>
  <dcterms:created xsi:type="dcterms:W3CDTF">2024-08-08T02:17:00Z</dcterms:created>
  <dcterms:modified xsi:type="dcterms:W3CDTF">2024-08-08T02:17:00Z</dcterms:modified>
</cp:coreProperties>
</file>