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75673599"/>
    <w:bookmarkEnd w:id="0"/>
    <w:p w14:paraId="1AD52DA1" w14:textId="77777777" w:rsidR="00FF21EF" w:rsidRDefault="00CA4494">
      <w:pPr>
        <w:spacing w:after="433" w:line="259" w:lineRule="auto"/>
        <w:ind w:left="-3" w:right="-19" w:firstLine="0"/>
        <w:jc w:val="left"/>
      </w:pPr>
      <w:r>
        <w:rPr>
          <w:noProof/>
          <w:color w:val="000000"/>
          <w:sz w:val="22"/>
        </w:rPr>
        <mc:AlternateContent>
          <mc:Choice Requires="wpg">
            <w:drawing>
              <wp:inline distT="0" distB="0" distL="0" distR="0" wp14:anchorId="7837982A" wp14:editId="07D5893C">
                <wp:extent cx="6142990" cy="19050"/>
                <wp:effectExtent l="0" t="0" r="0" b="0"/>
                <wp:docPr id="1907" name="Group 1907"/>
                <wp:cNvGraphicFramePr/>
                <a:graphic xmlns:a="http://schemas.openxmlformats.org/drawingml/2006/main">
                  <a:graphicData uri="http://schemas.microsoft.com/office/word/2010/wordprocessingGroup">
                    <wpg:wgp>
                      <wpg:cNvGrpSpPr/>
                      <wpg:grpSpPr>
                        <a:xfrm>
                          <a:off x="0" y="0"/>
                          <a:ext cx="6142990" cy="19050"/>
                          <a:chOff x="0" y="0"/>
                          <a:chExt cx="6142990" cy="19050"/>
                        </a:xfrm>
                      </wpg:grpSpPr>
                      <wps:wsp>
                        <wps:cNvPr id="105" name="Shape 105"/>
                        <wps:cNvSpPr/>
                        <wps:spPr>
                          <a:xfrm>
                            <a:off x="0" y="0"/>
                            <a:ext cx="6142990" cy="19050"/>
                          </a:xfrm>
                          <a:custGeom>
                            <a:avLst/>
                            <a:gdLst/>
                            <a:ahLst/>
                            <a:cxnLst/>
                            <a:rect l="0" t="0" r="0" b="0"/>
                            <a:pathLst>
                              <a:path w="6142990" h="19050">
                                <a:moveTo>
                                  <a:pt x="0" y="0"/>
                                </a:moveTo>
                                <a:lnTo>
                                  <a:pt x="6142990" y="0"/>
                                </a:lnTo>
                                <a:lnTo>
                                  <a:pt x="6142990" y="19050"/>
                                </a:lnTo>
                                <a:lnTo>
                                  <a:pt x="307149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907" style="width:483.7pt;height:1.5pt;mso-position-horizontal-relative:char;mso-position-vertical-relative:line" coordsize="61429,190">
                <v:shape id="Shape 105" style="position:absolute;width:61429;height:190;left:0;top:0;" coordsize="6142990,19050" path="m0,0l6142990,0l6142990,19050l3071495,19050l0,19050l0,0x">
                  <v:stroke weight="0pt" endcap="flat" joinstyle="miter" miterlimit="10" on="false" color="#000000" opacity="0"/>
                  <v:fill on="true" color="#a0a0a0"/>
                </v:shape>
              </v:group>
            </w:pict>
          </mc:Fallback>
        </mc:AlternateContent>
      </w:r>
    </w:p>
    <w:p w14:paraId="7F444B4E" w14:textId="5A131594" w:rsidR="00FF21EF" w:rsidRPr="00C0489D" w:rsidRDefault="006265B3">
      <w:pPr>
        <w:spacing w:after="0" w:line="259" w:lineRule="auto"/>
        <w:ind w:left="0" w:firstLine="0"/>
        <w:jc w:val="left"/>
        <w:rPr>
          <w:sz w:val="32"/>
          <w:szCs w:val="32"/>
        </w:rPr>
      </w:pPr>
      <w:r>
        <w:rPr>
          <w:b/>
          <w:sz w:val="32"/>
          <w:szCs w:val="32"/>
        </w:rPr>
        <w:t>Turismo ao redor do mundo – 2024 DATAVIS</w:t>
      </w:r>
    </w:p>
    <w:p w14:paraId="7A09FD06" w14:textId="18F7840D" w:rsidR="00FF21EF" w:rsidRDefault="001E7BBC">
      <w:pPr>
        <w:spacing w:after="332" w:line="259" w:lineRule="auto"/>
        <w:ind w:left="2" w:firstLine="0"/>
        <w:jc w:val="left"/>
      </w:pPr>
      <w:r>
        <w:rPr>
          <w:color w:val="16A6FF"/>
          <w:sz w:val="20"/>
        </w:rPr>
        <w:t>Ciro Gomes</w:t>
      </w:r>
      <w:r w:rsidR="00CA4494">
        <w:rPr>
          <w:color w:val="16A6FF"/>
          <w:sz w:val="20"/>
        </w:rPr>
        <w:t xml:space="preserve">, </w:t>
      </w:r>
      <w:r w:rsidRPr="001E7BBC">
        <w:rPr>
          <w:color w:val="16A6FF"/>
          <w:sz w:val="20"/>
        </w:rPr>
        <w:t>ciro.gomes@academico.ufpb.br</w:t>
      </w:r>
    </w:p>
    <w:p w14:paraId="6C3CBB99" w14:textId="77777777" w:rsidR="00FF21EF" w:rsidRDefault="00CA4494">
      <w:pPr>
        <w:spacing w:after="38" w:line="259" w:lineRule="auto"/>
        <w:ind w:left="0" w:right="4" w:firstLine="0"/>
        <w:jc w:val="right"/>
      </w:pPr>
      <w:r>
        <w:rPr>
          <w:color w:val="000000"/>
          <w:sz w:val="15"/>
        </w:rPr>
        <w:t xml:space="preserve">Universidade Federal da Paraíba </w:t>
      </w:r>
    </w:p>
    <w:p w14:paraId="70F5D67D" w14:textId="77777777" w:rsidR="00FF21EF" w:rsidRDefault="00CA4494">
      <w:pPr>
        <w:spacing w:after="51" w:line="375" w:lineRule="auto"/>
        <w:ind w:left="8684" w:hanging="1440"/>
        <w:jc w:val="left"/>
      </w:pPr>
      <w:r>
        <w:rPr>
          <w:color w:val="000000"/>
          <w:sz w:val="15"/>
        </w:rPr>
        <w:t xml:space="preserve">Cadernos de Visualização de Dados </w:t>
      </w:r>
      <w:r>
        <w:rPr>
          <w:color w:val="16A6FF"/>
          <w:sz w:val="15"/>
        </w:rPr>
        <w:t>cdia.ci.ufpb.br</w:t>
      </w:r>
    </w:p>
    <w:p w14:paraId="223267A2" w14:textId="77777777" w:rsidR="00FF21EF" w:rsidRDefault="00CA4494">
      <w:pPr>
        <w:spacing w:after="704" w:line="259" w:lineRule="auto"/>
        <w:ind w:left="-3" w:right="-19" w:firstLine="0"/>
        <w:jc w:val="left"/>
      </w:pPr>
      <w:r>
        <w:rPr>
          <w:noProof/>
          <w:color w:val="000000"/>
          <w:sz w:val="22"/>
        </w:rPr>
        <mc:AlternateContent>
          <mc:Choice Requires="wpg">
            <w:drawing>
              <wp:inline distT="0" distB="0" distL="0" distR="0" wp14:anchorId="25FE6D95" wp14:editId="2CBEBC1B">
                <wp:extent cx="6142990" cy="19050"/>
                <wp:effectExtent l="0" t="0" r="0" b="0"/>
                <wp:docPr id="1908" name="Group 1908"/>
                <wp:cNvGraphicFramePr/>
                <a:graphic xmlns:a="http://schemas.openxmlformats.org/drawingml/2006/main">
                  <a:graphicData uri="http://schemas.microsoft.com/office/word/2010/wordprocessingGroup">
                    <wpg:wgp>
                      <wpg:cNvGrpSpPr/>
                      <wpg:grpSpPr>
                        <a:xfrm>
                          <a:off x="0" y="0"/>
                          <a:ext cx="6142990" cy="19050"/>
                          <a:chOff x="0" y="0"/>
                          <a:chExt cx="6142990" cy="19050"/>
                        </a:xfrm>
                      </wpg:grpSpPr>
                      <wps:wsp>
                        <wps:cNvPr id="106" name="Shape 106"/>
                        <wps:cNvSpPr/>
                        <wps:spPr>
                          <a:xfrm>
                            <a:off x="0" y="0"/>
                            <a:ext cx="6142990" cy="19050"/>
                          </a:xfrm>
                          <a:custGeom>
                            <a:avLst/>
                            <a:gdLst/>
                            <a:ahLst/>
                            <a:cxnLst/>
                            <a:rect l="0" t="0" r="0" b="0"/>
                            <a:pathLst>
                              <a:path w="6142990" h="19050">
                                <a:moveTo>
                                  <a:pt x="0" y="0"/>
                                </a:moveTo>
                                <a:lnTo>
                                  <a:pt x="6142990" y="0"/>
                                </a:lnTo>
                                <a:lnTo>
                                  <a:pt x="6142990" y="19050"/>
                                </a:lnTo>
                                <a:lnTo>
                                  <a:pt x="307149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908" style="width:483.7pt;height:1.5pt;mso-position-horizontal-relative:char;mso-position-vertical-relative:line" coordsize="61429,190">
                <v:shape id="Shape 106" style="position:absolute;width:61429;height:190;left:0;top:0;" coordsize="6142990,19050" path="m0,0l6142990,0l6142990,19050l3071495,19050l0,19050l0,0x">
                  <v:stroke weight="0pt" endcap="flat" joinstyle="miter" miterlimit="10" on="false" color="#000000" opacity="0"/>
                  <v:fill on="true" color="#a0a0a0"/>
                </v:shape>
              </v:group>
            </w:pict>
          </mc:Fallback>
        </mc:AlternateContent>
      </w:r>
    </w:p>
    <w:p w14:paraId="02BE6CD3" w14:textId="70B4B4A9" w:rsidR="00FF21EF" w:rsidRDefault="00C75C1F">
      <w:pPr>
        <w:spacing w:after="0" w:line="259" w:lineRule="auto"/>
        <w:ind w:left="0" w:right="3" w:firstLine="0"/>
        <w:jc w:val="center"/>
        <w:rPr>
          <w:color w:val="000000"/>
          <w:sz w:val="20"/>
        </w:rPr>
      </w:pPr>
      <w:r>
        <w:rPr>
          <w:color w:val="000000"/>
          <w:sz w:val="20"/>
        </w:rPr>
        <w:t>08</w:t>
      </w:r>
      <w:r w:rsidR="00CA4494">
        <w:rPr>
          <w:color w:val="000000"/>
          <w:sz w:val="20"/>
        </w:rPr>
        <w:t xml:space="preserve"> de agosto de 202</w:t>
      </w:r>
      <w:r w:rsidR="008154FF">
        <w:rPr>
          <w:color w:val="000000"/>
          <w:sz w:val="20"/>
        </w:rPr>
        <w:t>4</w:t>
      </w:r>
    </w:p>
    <w:p w14:paraId="655EA064" w14:textId="77777777" w:rsidR="00061579" w:rsidRDefault="00061579">
      <w:pPr>
        <w:spacing w:after="0" w:line="259" w:lineRule="auto"/>
        <w:ind w:left="0" w:right="3" w:firstLine="0"/>
        <w:jc w:val="center"/>
      </w:pPr>
    </w:p>
    <w:p w14:paraId="64DB5713" w14:textId="77777777" w:rsidR="00FF21EF" w:rsidRDefault="00FF21EF"/>
    <w:p w14:paraId="5E618C41" w14:textId="5D42C062" w:rsidR="00061579" w:rsidRDefault="00061579">
      <w:pPr>
        <w:sectPr w:rsidR="00061579">
          <w:pgSz w:w="11906" w:h="16820"/>
          <w:pgMar w:top="564" w:right="1125" w:bottom="764" w:left="1130" w:header="720" w:footer="720" w:gutter="0"/>
          <w:cols w:space="720"/>
        </w:sectPr>
      </w:pPr>
    </w:p>
    <w:p w14:paraId="47506D79" w14:textId="15929D1A" w:rsidR="00FF21EF" w:rsidRDefault="00CA4494">
      <w:pPr>
        <w:pStyle w:val="Ttulo1"/>
        <w:rPr>
          <w:sz w:val="26"/>
        </w:rPr>
      </w:pPr>
      <w:r>
        <w:t>Assunto</w:t>
      </w:r>
      <w:r>
        <w:rPr>
          <w:sz w:val="26"/>
        </w:rPr>
        <w:t xml:space="preserve"> </w:t>
      </w:r>
    </w:p>
    <w:p w14:paraId="34A19EA0" w14:textId="77777777" w:rsidR="001B02BA" w:rsidRPr="001B02BA" w:rsidRDefault="001B02BA" w:rsidP="001B02BA"/>
    <w:p w14:paraId="492AEC59" w14:textId="3EBD8199" w:rsidR="00FF21EF" w:rsidRDefault="00657E6B">
      <w:pPr>
        <w:spacing w:after="380"/>
        <w:ind w:left="136" w:firstLine="226"/>
      </w:pPr>
      <w:r w:rsidRPr="00657E6B">
        <w:t>O projeto se insere no campo do turismo, utilizando análises de dados para compreender padrões de visitação, receitas geradas e disponibilidade de acomodações em diferentes locais ao redor do mundo. Este estudo é relevante tanto para acadêmicos interessados em análises de dados turísticos quanto para profissionais do setor que buscam otimizar estratégias baseadas em dados concretos.</w:t>
      </w:r>
    </w:p>
    <w:p w14:paraId="0F35B3AF" w14:textId="2F2A3C3F" w:rsidR="00FF21EF" w:rsidRDefault="00657E6B" w:rsidP="001B02BA">
      <w:pPr>
        <w:spacing w:after="101" w:line="259" w:lineRule="auto"/>
        <w:ind w:left="136" w:firstLine="0"/>
        <w:jc w:val="left"/>
        <w:rPr>
          <w:b/>
          <w:bCs/>
        </w:rPr>
      </w:pPr>
      <w:r w:rsidRPr="00657E6B">
        <w:rPr>
          <w:b/>
          <w:bCs/>
        </w:rPr>
        <w:t>Desafio</w:t>
      </w:r>
      <w:r w:rsidR="00CA4494" w:rsidRPr="001B02BA">
        <w:rPr>
          <w:b/>
          <w:bCs/>
        </w:rPr>
        <w:t xml:space="preserve">: </w:t>
      </w:r>
    </w:p>
    <w:p w14:paraId="0AB1BE13" w14:textId="22FEC975" w:rsidR="001B02BA" w:rsidRDefault="001B02BA" w:rsidP="001B02BA">
      <w:pPr>
        <w:spacing w:after="101" w:line="259" w:lineRule="auto"/>
        <w:ind w:left="136" w:firstLine="0"/>
        <w:jc w:val="left"/>
      </w:pPr>
      <w:r>
        <w:t xml:space="preserve">     </w:t>
      </w:r>
      <w:r w:rsidR="00657E6B" w:rsidRPr="00657E6B">
        <w:t>O desafio principal é analisar e representar grandes volumes de dados turísticos de forma que seja possível extrair insights significativos sobre padrões de visitação e rentabilidade, além de avaliar a correlação entre a disponibilidade de acomodações e a popularidade dos destinos. Este desafio envolve não apenas o processamento de grandes conjuntos de dados, mas também a representação eficaz dos mesmos para facilitar a tomada de decisões baseada em dados.</w:t>
      </w:r>
    </w:p>
    <w:p w14:paraId="23834B2C" w14:textId="423C2BB2" w:rsidR="00657E6B" w:rsidRPr="00657E6B" w:rsidRDefault="00657E6B" w:rsidP="001B02BA">
      <w:pPr>
        <w:spacing w:after="101" w:line="259" w:lineRule="auto"/>
        <w:ind w:left="136" w:firstLine="0"/>
        <w:jc w:val="left"/>
        <w:rPr>
          <w:b/>
          <w:bCs/>
        </w:rPr>
      </w:pPr>
      <w:r w:rsidRPr="00657E6B">
        <w:rPr>
          <w:b/>
          <w:bCs/>
        </w:rPr>
        <w:t>Projeto de Visualização</w:t>
      </w:r>
      <w:r w:rsidRPr="00657E6B">
        <w:rPr>
          <w:b/>
          <w:bCs/>
        </w:rPr>
        <w:t>:</w:t>
      </w:r>
    </w:p>
    <w:p w14:paraId="438E1DB4" w14:textId="01C2F47E" w:rsidR="001B02BA" w:rsidRPr="001B02BA" w:rsidRDefault="001B02BA" w:rsidP="001B02BA">
      <w:pPr>
        <w:spacing w:after="101" w:line="259" w:lineRule="auto"/>
        <w:ind w:left="136" w:firstLine="0"/>
        <w:jc w:val="left"/>
        <w:rPr>
          <w:b/>
          <w:bCs/>
        </w:rPr>
      </w:pPr>
      <w:r>
        <w:rPr>
          <w:b/>
          <w:bCs/>
        </w:rPr>
        <w:tab/>
      </w:r>
    </w:p>
    <w:p w14:paraId="07E5694A" w14:textId="77777777" w:rsidR="00657E6B" w:rsidRDefault="00657E6B">
      <w:pPr>
        <w:numPr>
          <w:ilvl w:val="0"/>
          <w:numId w:val="1"/>
        </w:numPr>
        <w:spacing w:after="111"/>
        <w:ind w:hanging="140"/>
      </w:pPr>
      <w:r w:rsidRPr="006265B3">
        <w:rPr>
          <w:b/>
          <w:bCs/>
        </w:rPr>
        <w:t>Preparação dos Dados:</w:t>
      </w:r>
      <w:r w:rsidRPr="00657E6B">
        <w:t xml:space="preserve"> Carregamento e limpeza dos dados utilizando Python e pandas.</w:t>
      </w:r>
    </w:p>
    <w:p w14:paraId="3ED58034" w14:textId="77777777" w:rsidR="00657E6B" w:rsidRDefault="00657E6B">
      <w:pPr>
        <w:numPr>
          <w:ilvl w:val="0"/>
          <w:numId w:val="1"/>
        </w:numPr>
        <w:spacing w:after="111"/>
        <w:ind w:hanging="140"/>
      </w:pPr>
      <w:r w:rsidRPr="006265B3">
        <w:rPr>
          <w:b/>
          <w:bCs/>
        </w:rPr>
        <w:t>Análise Exploratória:</w:t>
      </w:r>
      <w:r w:rsidRPr="00657E6B">
        <w:t xml:space="preserve"> Utilização de estatísticas descritivas para entender a distribuição dos dados.</w:t>
      </w:r>
    </w:p>
    <w:p w14:paraId="04AAA775" w14:textId="2825D031" w:rsidR="00061579" w:rsidRDefault="00657E6B" w:rsidP="00657E6B">
      <w:pPr>
        <w:numPr>
          <w:ilvl w:val="0"/>
          <w:numId w:val="1"/>
        </w:numPr>
        <w:spacing w:after="111"/>
        <w:ind w:hanging="140"/>
      </w:pPr>
      <w:r w:rsidRPr="006265B3">
        <w:rPr>
          <w:b/>
          <w:bCs/>
        </w:rPr>
        <w:t>Desenvolvimento de Visualizações:</w:t>
      </w:r>
      <w:r w:rsidRPr="00657E6B">
        <w:t xml:space="preserve"> Criação de gráficos usando Matplotlib e Seaborn para mostrar a distribuição de visitantes por categoria, receita por país e a disponibilidade de acomodações.</w:t>
      </w:r>
    </w:p>
    <w:p w14:paraId="2F695D30" w14:textId="476B9A8B" w:rsidR="00061579" w:rsidRDefault="00657E6B" w:rsidP="00657E6B">
      <w:pPr>
        <w:numPr>
          <w:ilvl w:val="0"/>
          <w:numId w:val="1"/>
        </w:numPr>
        <w:spacing w:after="111"/>
        <w:ind w:hanging="140"/>
      </w:pPr>
      <w:r w:rsidRPr="006265B3">
        <w:rPr>
          <w:b/>
          <w:bCs/>
        </w:rPr>
        <w:t>Iteração:</w:t>
      </w:r>
      <w:r w:rsidRPr="00657E6B">
        <w:t xml:space="preserve"> Ajuste das visualizações com base no feedback inicial para melhorar a clareza e a interpretabilidade.</w:t>
      </w:r>
    </w:p>
    <w:p w14:paraId="507E83CF" w14:textId="572AF2C8" w:rsidR="00061579" w:rsidRPr="00657E6B" w:rsidRDefault="00023633" w:rsidP="00657E6B">
      <w:pPr>
        <w:spacing w:after="111"/>
        <w:ind w:left="0" w:firstLine="0"/>
        <w:rPr>
          <w:b/>
          <w:bCs/>
        </w:rPr>
      </w:pPr>
      <w:r>
        <w:rPr>
          <w:b/>
          <w:bCs/>
        </w:rPr>
        <w:t xml:space="preserve">  </w:t>
      </w:r>
      <w:r w:rsidRPr="00023633">
        <w:rPr>
          <w:b/>
          <w:bCs/>
        </w:rPr>
        <w:t>Representação</w:t>
      </w:r>
      <w:r>
        <w:rPr>
          <w:b/>
          <w:bCs/>
        </w:rPr>
        <w:t xml:space="preserve"> </w:t>
      </w:r>
      <w:r w:rsidR="00DE5544" w:rsidRPr="00023633">
        <w:rPr>
          <w:b/>
          <w:bCs/>
        </w:rPr>
        <w:t>Visual</w:t>
      </w:r>
      <w:r w:rsidR="00DE5544">
        <w:rPr>
          <w:b/>
          <w:bCs/>
        </w:rPr>
        <w:t>:</w:t>
      </w:r>
    </w:p>
    <w:p w14:paraId="4EBF1E66" w14:textId="4BDFE5D1" w:rsidR="00C5631B" w:rsidRPr="00C5631B" w:rsidRDefault="00657E6B" w:rsidP="00657E6B">
      <w:pPr>
        <w:spacing w:after="0" w:line="259" w:lineRule="auto"/>
        <w:ind w:left="125" w:firstLine="0"/>
        <w:jc w:val="left"/>
      </w:pPr>
      <w:r>
        <w:t xml:space="preserve">       </w:t>
      </w:r>
      <w:r>
        <w:t xml:space="preserve">O mapeamento dos dados envolveu a utilização de funções </w:t>
      </w:r>
      <w:r>
        <w:t>do pandas</w:t>
      </w:r>
      <w:r>
        <w:t xml:space="preserve"> para agrupar, sumarizar e calcular percentuais dos dados, e funções do Matplotlib e Seaborn para a criação de gráficos de barras e gráficos de pizza.</w:t>
      </w:r>
    </w:p>
    <w:p w14:paraId="6599A6E6" w14:textId="77777777" w:rsidR="00657E6B" w:rsidRDefault="00657E6B">
      <w:pPr>
        <w:spacing w:after="120" w:line="259" w:lineRule="auto"/>
        <w:ind w:left="135"/>
        <w:jc w:val="left"/>
        <w:rPr>
          <w:b/>
          <w:bCs/>
        </w:rPr>
      </w:pPr>
    </w:p>
    <w:p w14:paraId="3FE6E1A2" w14:textId="55457B57" w:rsidR="001B02BA" w:rsidRPr="001B02BA" w:rsidRDefault="001B02BA">
      <w:pPr>
        <w:spacing w:after="120" w:line="259" w:lineRule="auto"/>
        <w:ind w:left="135"/>
        <w:jc w:val="left"/>
        <w:rPr>
          <w:b/>
          <w:bCs/>
        </w:rPr>
      </w:pPr>
      <w:r w:rsidRPr="001B02BA">
        <w:rPr>
          <w:b/>
          <w:bCs/>
        </w:rPr>
        <w:t>Metodologia</w:t>
      </w:r>
    </w:p>
    <w:p w14:paraId="0063408D" w14:textId="77777777" w:rsidR="00657E6B" w:rsidRDefault="00657E6B" w:rsidP="00657E6B">
      <w:pPr>
        <w:pStyle w:val="PargrafodaLista"/>
        <w:numPr>
          <w:ilvl w:val="0"/>
          <w:numId w:val="2"/>
        </w:numPr>
      </w:pPr>
      <w:r>
        <w:t>Gráficos de barras para distribuição de visitantes por categoria e receitas por país.</w:t>
      </w:r>
    </w:p>
    <w:p w14:paraId="7AB002A3" w14:textId="77777777" w:rsidR="00657E6B" w:rsidRDefault="00657E6B" w:rsidP="00657E6B">
      <w:pPr>
        <w:pStyle w:val="PargrafodaLista"/>
        <w:numPr>
          <w:ilvl w:val="0"/>
          <w:numId w:val="2"/>
        </w:numPr>
      </w:pPr>
      <w:r>
        <w:t>Gráficos de pizza para mostrar a percentagem de disponibilidade de acomodações.</w:t>
      </w:r>
    </w:p>
    <w:p w14:paraId="5E3825EC" w14:textId="4D6227DE" w:rsidR="001B02BA" w:rsidRDefault="00657E6B" w:rsidP="00657E6B">
      <w:pPr>
        <w:pStyle w:val="PargrafodaLista"/>
        <w:numPr>
          <w:ilvl w:val="0"/>
          <w:numId w:val="2"/>
        </w:numPr>
      </w:pPr>
      <w:r>
        <w:t>Ajustes de layout e escala para facilitar a interpretação dos gráficos.</w:t>
      </w:r>
    </w:p>
    <w:p w14:paraId="5A461B9B" w14:textId="56BC622A" w:rsidR="001B02BA" w:rsidRPr="001B02BA" w:rsidRDefault="00023633">
      <w:pPr>
        <w:ind w:left="190"/>
        <w:rPr>
          <w:b/>
          <w:szCs w:val="18"/>
        </w:rPr>
      </w:pPr>
      <w:r w:rsidRPr="00023633">
        <w:rPr>
          <w:b/>
          <w:szCs w:val="18"/>
        </w:rPr>
        <w:t>Análise de Dados</w:t>
      </w:r>
    </w:p>
    <w:p w14:paraId="263DCD6C" w14:textId="478E16EC" w:rsidR="001B02BA" w:rsidRDefault="00023633" w:rsidP="00C5631B">
      <w:pPr>
        <w:ind w:left="190"/>
        <w:rPr>
          <w:bCs/>
          <w:szCs w:val="18"/>
        </w:rPr>
      </w:pPr>
      <w:r w:rsidRPr="00023633">
        <w:rPr>
          <w:bCs/>
          <w:szCs w:val="18"/>
        </w:rPr>
        <w:t>A análise dos gráficos mostrou padrões claros de preferências de visitação em categorias específicas e variações na geração de receita entre diferentes países. A disponibilidade de acomodações mostrou uma correlação com o número de visitantes, sugerindo impactos na escolha dos destinos.</w:t>
      </w:r>
    </w:p>
    <w:p w14:paraId="2643DE96" w14:textId="77777777" w:rsidR="00C5631B" w:rsidRPr="00C5631B" w:rsidRDefault="00C5631B" w:rsidP="00C5631B">
      <w:pPr>
        <w:ind w:left="190"/>
        <w:rPr>
          <w:bCs/>
          <w:szCs w:val="18"/>
        </w:rPr>
      </w:pPr>
    </w:p>
    <w:p w14:paraId="412FE313" w14:textId="1A57602D" w:rsidR="001B02BA" w:rsidRDefault="00023633" w:rsidP="00C5631B">
      <w:pPr>
        <w:spacing w:after="108" w:line="259" w:lineRule="auto"/>
        <w:ind w:left="2010" w:hanging="1076"/>
        <w:jc w:val="left"/>
        <w:rPr>
          <w:bCs/>
          <w:color w:val="000000"/>
          <w:sz w:val="17"/>
        </w:rPr>
      </w:pPr>
      <w:r w:rsidRPr="00023633">
        <w:rPr>
          <w:i/>
          <w:noProof/>
          <w:color w:val="000000"/>
          <w:sz w:val="17"/>
        </w:rPr>
        <w:drawing>
          <wp:anchor distT="0" distB="0" distL="114300" distR="114300" simplePos="0" relativeHeight="251663360" behindDoc="0" locked="0" layoutInCell="1" allowOverlap="1" wp14:anchorId="53B74E97" wp14:editId="6BFD4C51">
            <wp:simplePos x="0" y="0"/>
            <wp:positionH relativeFrom="column">
              <wp:posOffset>183105</wp:posOffset>
            </wp:positionH>
            <wp:positionV relativeFrom="paragraph">
              <wp:posOffset>305110</wp:posOffset>
            </wp:positionV>
            <wp:extent cx="3016250" cy="160464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16250" cy="1604645"/>
                    </a:xfrm>
                    <a:prstGeom prst="rect">
                      <a:avLst/>
                    </a:prstGeom>
                  </pic:spPr>
                </pic:pic>
              </a:graphicData>
            </a:graphic>
          </wp:anchor>
        </w:drawing>
      </w:r>
      <w:r w:rsidR="00C15698">
        <w:rPr>
          <w:b/>
          <w:color w:val="000000"/>
          <w:sz w:val="17"/>
        </w:rPr>
        <w:t xml:space="preserve">Imagem </w:t>
      </w:r>
      <w:r w:rsidR="00CA4494">
        <w:rPr>
          <w:b/>
          <w:color w:val="000000"/>
          <w:sz w:val="17"/>
        </w:rPr>
        <w:t>1:</w:t>
      </w:r>
      <w:r w:rsidR="00C5631B" w:rsidRPr="00C5631B">
        <w:t xml:space="preserve"> </w:t>
      </w:r>
      <w:r>
        <w:rPr>
          <w:bCs/>
          <w:color w:val="000000"/>
          <w:sz w:val="17"/>
        </w:rPr>
        <w:t>Tabela de dados</w:t>
      </w:r>
    </w:p>
    <w:p w14:paraId="58DE28CD" w14:textId="64FC223C" w:rsidR="00C15698" w:rsidRDefault="00C15698" w:rsidP="00C5631B">
      <w:pPr>
        <w:spacing w:after="108" w:line="259" w:lineRule="auto"/>
        <w:ind w:left="2010" w:hanging="1076"/>
        <w:jc w:val="left"/>
        <w:rPr>
          <w:i/>
          <w:color w:val="000000"/>
          <w:sz w:val="17"/>
        </w:rPr>
      </w:pPr>
    </w:p>
    <w:p w14:paraId="00076A4B" w14:textId="54D0E0A7" w:rsidR="00C15698" w:rsidRPr="00061579" w:rsidRDefault="00C15698" w:rsidP="00061579">
      <w:pPr>
        <w:spacing w:after="108" w:line="259" w:lineRule="auto"/>
        <w:ind w:left="2010" w:hanging="1076"/>
        <w:jc w:val="left"/>
        <w:rPr>
          <w:i/>
          <w:color w:val="000000"/>
          <w:sz w:val="17"/>
        </w:rPr>
        <w:sectPr w:rsidR="00C15698" w:rsidRPr="00061579" w:rsidSect="00657E6B">
          <w:type w:val="continuous"/>
          <w:pgSz w:w="11906" w:h="16820"/>
          <w:pgMar w:top="564" w:right="1102" w:bottom="764" w:left="1130" w:header="720" w:footer="720" w:gutter="0"/>
          <w:cols w:num="2" w:space="174"/>
        </w:sectPr>
      </w:pPr>
    </w:p>
    <w:p w14:paraId="13728D32" w14:textId="77777777" w:rsidR="00C15698" w:rsidRDefault="00C15698" w:rsidP="00C15698">
      <w:pPr>
        <w:ind w:left="0" w:firstLine="0"/>
        <w:sectPr w:rsidR="00C15698" w:rsidSect="00C15698">
          <w:type w:val="continuous"/>
          <w:pgSz w:w="11906" w:h="16820"/>
          <w:pgMar w:top="1440" w:right="1080" w:bottom="1440" w:left="1080" w:header="720" w:footer="720" w:gutter="0"/>
          <w:cols w:num="2" w:space="720"/>
          <w:docGrid w:linePitch="245"/>
        </w:sectPr>
      </w:pPr>
    </w:p>
    <w:p w14:paraId="3F4B7605" w14:textId="4CFB7735" w:rsidR="00C15698" w:rsidRDefault="00C15698" w:rsidP="00C5631B">
      <w:pPr>
        <w:spacing w:after="0" w:line="259" w:lineRule="auto"/>
        <w:ind w:left="0" w:firstLine="0"/>
        <w:jc w:val="left"/>
      </w:pPr>
    </w:p>
    <w:p w14:paraId="75871354" w14:textId="77777777" w:rsidR="00DE5544" w:rsidRDefault="00DE5544" w:rsidP="00023633">
      <w:pPr>
        <w:spacing w:after="108" w:line="259" w:lineRule="auto"/>
        <w:ind w:left="226" w:firstLine="0"/>
        <w:jc w:val="center"/>
        <w:rPr>
          <w:b/>
          <w:color w:val="000000"/>
          <w:sz w:val="17"/>
        </w:rPr>
      </w:pPr>
    </w:p>
    <w:p w14:paraId="0C0F2D36" w14:textId="77777777" w:rsidR="00DE5544" w:rsidRDefault="00DE5544" w:rsidP="00023633">
      <w:pPr>
        <w:spacing w:after="108" w:line="259" w:lineRule="auto"/>
        <w:ind w:left="226" w:firstLine="0"/>
        <w:jc w:val="center"/>
        <w:rPr>
          <w:b/>
          <w:color w:val="000000"/>
          <w:sz w:val="17"/>
        </w:rPr>
      </w:pPr>
    </w:p>
    <w:p w14:paraId="478A36E4" w14:textId="77777777" w:rsidR="00DE5544" w:rsidRDefault="00DE5544" w:rsidP="00023633">
      <w:pPr>
        <w:spacing w:after="108" w:line="259" w:lineRule="auto"/>
        <w:ind w:left="226" w:firstLine="0"/>
        <w:jc w:val="center"/>
        <w:rPr>
          <w:b/>
          <w:color w:val="000000"/>
          <w:sz w:val="17"/>
        </w:rPr>
      </w:pPr>
    </w:p>
    <w:p w14:paraId="73D0DBD4" w14:textId="77777777" w:rsidR="00DE5544" w:rsidRDefault="00DE5544" w:rsidP="00023633">
      <w:pPr>
        <w:spacing w:after="108" w:line="259" w:lineRule="auto"/>
        <w:ind w:left="226" w:firstLine="0"/>
        <w:jc w:val="center"/>
        <w:rPr>
          <w:b/>
          <w:color w:val="000000"/>
          <w:sz w:val="17"/>
        </w:rPr>
      </w:pPr>
    </w:p>
    <w:p w14:paraId="214827E0" w14:textId="77777777" w:rsidR="00DE5544" w:rsidRDefault="00DE5544" w:rsidP="00023633">
      <w:pPr>
        <w:spacing w:after="108" w:line="259" w:lineRule="auto"/>
        <w:ind w:left="226" w:firstLine="0"/>
        <w:jc w:val="center"/>
        <w:rPr>
          <w:b/>
          <w:color w:val="000000"/>
          <w:sz w:val="17"/>
        </w:rPr>
      </w:pPr>
    </w:p>
    <w:p w14:paraId="59A822CE" w14:textId="77777777" w:rsidR="00DE5544" w:rsidRDefault="00DE5544" w:rsidP="00023633">
      <w:pPr>
        <w:spacing w:after="108" w:line="259" w:lineRule="auto"/>
        <w:ind w:left="226" w:firstLine="0"/>
        <w:jc w:val="center"/>
        <w:rPr>
          <w:b/>
          <w:color w:val="000000"/>
          <w:sz w:val="17"/>
        </w:rPr>
      </w:pPr>
    </w:p>
    <w:p w14:paraId="5C415F56" w14:textId="77777777" w:rsidR="00DE5544" w:rsidRDefault="00DE5544" w:rsidP="00023633">
      <w:pPr>
        <w:spacing w:after="108" w:line="259" w:lineRule="auto"/>
        <w:ind w:left="226" w:firstLine="0"/>
        <w:jc w:val="center"/>
        <w:rPr>
          <w:b/>
          <w:color w:val="000000"/>
          <w:sz w:val="17"/>
        </w:rPr>
      </w:pPr>
    </w:p>
    <w:p w14:paraId="57EDB44F" w14:textId="5B01FF60" w:rsidR="00C15698" w:rsidRPr="00DE5544" w:rsidRDefault="00DE5544" w:rsidP="00023633">
      <w:pPr>
        <w:spacing w:after="108" w:line="259" w:lineRule="auto"/>
        <w:ind w:left="226" w:firstLine="0"/>
        <w:jc w:val="center"/>
        <w:rPr>
          <w:bCs/>
          <w:color w:val="000000"/>
          <w:sz w:val="17"/>
          <w:szCs w:val="17"/>
        </w:rPr>
      </w:pPr>
      <w:r>
        <w:rPr>
          <w:b/>
          <w:color w:val="000000"/>
          <w:sz w:val="17"/>
        </w:rPr>
        <w:br/>
      </w:r>
      <w:r w:rsidRPr="00DE5544">
        <w:rPr>
          <w:sz w:val="17"/>
          <w:szCs w:val="17"/>
        </w:rPr>
        <w:drawing>
          <wp:anchor distT="0" distB="0" distL="114300" distR="114300" simplePos="0" relativeHeight="251665408" behindDoc="0" locked="0" layoutInCell="1" allowOverlap="1" wp14:anchorId="04F304DA" wp14:editId="29E5B0FF">
            <wp:simplePos x="0" y="0"/>
            <wp:positionH relativeFrom="margin">
              <wp:align>right</wp:align>
            </wp:positionH>
            <wp:positionV relativeFrom="paragraph">
              <wp:posOffset>1270</wp:posOffset>
            </wp:positionV>
            <wp:extent cx="2865755" cy="2259330"/>
            <wp:effectExtent l="0" t="0" r="0" b="762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755" cy="2259330"/>
                    </a:xfrm>
                    <a:prstGeom prst="rect">
                      <a:avLst/>
                    </a:prstGeom>
                  </pic:spPr>
                </pic:pic>
              </a:graphicData>
            </a:graphic>
            <wp14:sizeRelV relativeFrom="margin">
              <wp14:pctHeight>0</wp14:pctHeight>
            </wp14:sizeRelV>
          </wp:anchor>
        </w:drawing>
      </w:r>
      <w:r w:rsidR="00023633" w:rsidRPr="00DE5544">
        <w:rPr>
          <w:i/>
          <w:noProof/>
          <w:color w:val="000000"/>
          <w:sz w:val="17"/>
          <w:szCs w:val="17"/>
        </w:rPr>
        <w:drawing>
          <wp:anchor distT="0" distB="0" distL="114300" distR="114300" simplePos="0" relativeHeight="251664384" behindDoc="0" locked="0" layoutInCell="1" allowOverlap="1" wp14:anchorId="7535589F" wp14:editId="3F670873">
            <wp:simplePos x="0" y="0"/>
            <wp:positionH relativeFrom="column">
              <wp:posOffset>122744</wp:posOffset>
            </wp:positionH>
            <wp:positionV relativeFrom="paragraph">
              <wp:posOffset>577</wp:posOffset>
            </wp:positionV>
            <wp:extent cx="2865755" cy="224853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755" cy="2248535"/>
                    </a:xfrm>
                    <a:prstGeom prst="rect">
                      <a:avLst/>
                    </a:prstGeom>
                  </pic:spPr>
                </pic:pic>
              </a:graphicData>
            </a:graphic>
          </wp:anchor>
        </w:drawing>
      </w:r>
      <w:r w:rsidR="00C15698" w:rsidRPr="00DE5544">
        <w:rPr>
          <w:b/>
          <w:color w:val="000000"/>
          <w:sz w:val="17"/>
          <w:szCs w:val="17"/>
        </w:rPr>
        <w:t>Imagem 2:</w:t>
      </w:r>
      <w:r w:rsidR="00C15698" w:rsidRPr="00DE5544">
        <w:rPr>
          <w:sz w:val="17"/>
          <w:szCs w:val="17"/>
        </w:rPr>
        <w:t xml:space="preserve"> </w:t>
      </w:r>
      <w:r w:rsidR="00023633" w:rsidRPr="00DE5544">
        <w:rPr>
          <w:bCs/>
          <w:color w:val="000000"/>
          <w:sz w:val="17"/>
          <w:szCs w:val="17"/>
        </w:rPr>
        <w:t>Distribuição de visitantes por categorias</w:t>
      </w:r>
    </w:p>
    <w:p w14:paraId="76AEE422" w14:textId="22909CA3" w:rsidR="00DE5544" w:rsidRPr="00DE5544" w:rsidRDefault="006265B3" w:rsidP="00DE5544">
      <w:pPr>
        <w:spacing w:after="108" w:line="259" w:lineRule="auto"/>
        <w:rPr>
          <w:bCs/>
          <w:color w:val="000000"/>
          <w:szCs w:val="18"/>
        </w:rPr>
      </w:pPr>
      <w:r>
        <w:rPr>
          <w:bCs/>
          <w:color w:val="000000"/>
          <w:szCs w:val="18"/>
        </w:rPr>
        <w:t xml:space="preserve">     </w:t>
      </w:r>
      <w:r w:rsidR="00DE5544" w:rsidRPr="00DE5544">
        <w:rPr>
          <w:bCs/>
          <w:color w:val="000000"/>
          <w:szCs w:val="18"/>
        </w:rPr>
        <w:t>Esse gráfico oferece uma visão clara sobre quais categorias de atrações turísticas atraem mais visitantes. As categorias com as barras mais altas indicam maior popularidade, enquanto as categorias com barras mais curtas refletem um menor número de visitantes. Essa visualização é útil para stakeholders do setor de turismo, como agências de viagens e gestores de destinos, que desejam entender as preferências de turistas e ajustar suas estratégias de marketing e planejamento de infraestrutura de acordo com as demandas.</w:t>
      </w:r>
    </w:p>
    <w:p w14:paraId="552B2E3D" w14:textId="75E25020" w:rsidR="00C15698" w:rsidRDefault="00C15698" w:rsidP="00C15698">
      <w:pPr>
        <w:spacing w:after="108" w:line="259" w:lineRule="auto"/>
        <w:ind w:left="2010" w:hanging="1076"/>
        <w:jc w:val="left"/>
        <w:rPr>
          <w:i/>
          <w:color w:val="000000"/>
          <w:sz w:val="17"/>
        </w:rPr>
      </w:pPr>
    </w:p>
    <w:p w14:paraId="3FD70F85" w14:textId="0DE740A0" w:rsidR="00C15698" w:rsidRDefault="00C15698" w:rsidP="00C5631B">
      <w:pPr>
        <w:spacing w:after="0" w:line="259" w:lineRule="auto"/>
        <w:ind w:left="0" w:firstLine="0"/>
        <w:jc w:val="left"/>
      </w:pPr>
    </w:p>
    <w:p w14:paraId="383FF0AA" w14:textId="08008AA5" w:rsidR="00C15698" w:rsidRDefault="00C15698" w:rsidP="00C5631B">
      <w:pPr>
        <w:spacing w:after="0" w:line="259" w:lineRule="auto"/>
        <w:ind w:left="0" w:firstLine="0"/>
        <w:jc w:val="left"/>
      </w:pPr>
    </w:p>
    <w:p w14:paraId="744C4C00" w14:textId="06E101F0" w:rsidR="00C0489D" w:rsidRDefault="00DE5544" w:rsidP="00DE5544">
      <w:pPr>
        <w:spacing w:after="380" w:line="259" w:lineRule="auto"/>
        <w:ind w:left="0" w:firstLine="0"/>
        <w:jc w:val="left"/>
      </w:pPr>
      <w:r w:rsidRPr="00DE5544">
        <w:drawing>
          <wp:inline distT="0" distB="0" distL="0" distR="0" wp14:anchorId="0113F7B5" wp14:editId="48EB70F9">
            <wp:extent cx="2865755" cy="15049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755" cy="1504950"/>
                    </a:xfrm>
                    <a:prstGeom prst="rect">
                      <a:avLst/>
                    </a:prstGeom>
                  </pic:spPr>
                </pic:pic>
              </a:graphicData>
            </a:graphic>
          </wp:inline>
        </w:drawing>
      </w:r>
    </w:p>
    <w:p w14:paraId="74E4AD79" w14:textId="1A0D23BE" w:rsidR="00DE5544" w:rsidRDefault="00DE5544" w:rsidP="00DE5544">
      <w:pPr>
        <w:spacing w:after="380" w:line="259" w:lineRule="auto"/>
        <w:ind w:left="0" w:firstLine="0"/>
        <w:jc w:val="center"/>
        <w:rPr>
          <w:bCs/>
          <w:color w:val="000000"/>
          <w:sz w:val="17"/>
          <w:szCs w:val="17"/>
        </w:rPr>
      </w:pPr>
      <w:r w:rsidRPr="00DE5544">
        <w:rPr>
          <w:b/>
          <w:color w:val="000000"/>
          <w:sz w:val="17"/>
          <w:szCs w:val="17"/>
        </w:rPr>
        <w:t xml:space="preserve">Imagem </w:t>
      </w:r>
      <w:r>
        <w:rPr>
          <w:b/>
          <w:color w:val="000000"/>
          <w:sz w:val="17"/>
          <w:szCs w:val="17"/>
        </w:rPr>
        <w:t>3</w:t>
      </w:r>
      <w:r w:rsidRPr="00DE5544">
        <w:rPr>
          <w:b/>
          <w:color w:val="000000"/>
          <w:sz w:val="17"/>
          <w:szCs w:val="17"/>
        </w:rPr>
        <w:t>:</w:t>
      </w:r>
      <w:r w:rsidRPr="00DE5544">
        <w:rPr>
          <w:sz w:val="17"/>
          <w:szCs w:val="17"/>
        </w:rPr>
        <w:t xml:space="preserve"> </w:t>
      </w:r>
      <w:r>
        <w:rPr>
          <w:bCs/>
          <w:color w:val="000000"/>
          <w:sz w:val="17"/>
          <w:szCs w:val="17"/>
        </w:rPr>
        <w:t>Dados do Brasil, total de visitantes e receita em dólar</w:t>
      </w:r>
    </w:p>
    <w:p w14:paraId="015F63E5" w14:textId="504A8542" w:rsidR="00C15698" w:rsidRPr="00D970D9" w:rsidRDefault="006265B3" w:rsidP="006265B3">
      <w:pPr>
        <w:spacing w:after="380" w:line="259" w:lineRule="auto"/>
        <w:ind w:left="0" w:firstLine="0"/>
        <w:jc w:val="left"/>
      </w:pPr>
      <w:r>
        <w:t xml:space="preserve">     </w:t>
      </w:r>
      <w:r w:rsidR="00DE5544" w:rsidRPr="00DE5544">
        <w:t>Este conjunto de gráficos permite a análise detalhada de como diferentes categorias de turismo se comportam em termos de popularidade e receita</w:t>
      </w:r>
      <w:r>
        <w:t xml:space="preserve"> no Brasil</w:t>
      </w:r>
      <w:r w:rsidR="00DE5544" w:rsidRPr="00DE5544">
        <w:t>. Ao comparar o número de visitantes e a receita lado a lado, fica claro que algumas categorias podem ter muitos visitantes, mas gerar menos receita, enquanto outras categorias, mesmo com menos visitantes, podem ser mais lucrativas. Isso pode ajudar gestores e profissionais de turismo a tomar decisões estratégicas, como aumentar os investimentos em categorias que geram mais receita ou melhorar a infraestrutura em categorias que atraem mais visitantes.</w:t>
      </w:r>
    </w:p>
    <w:p w14:paraId="2072B508" w14:textId="53FAD78D" w:rsidR="00C15698" w:rsidRPr="00D970D9" w:rsidRDefault="00C15698" w:rsidP="00C5631B">
      <w:pPr>
        <w:spacing w:after="0" w:line="259" w:lineRule="auto"/>
        <w:ind w:left="0" w:firstLine="0"/>
        <w:jc w:val="left"/>
      </w:pPr>
    </w:p>
    <w:p w14:paraId="33BDEF1F" w14:textId="3EB02F30" w:rsidR="00C15698" w:rsidRPr="00D970D9" w:rsidRDefault="00023633" w:rsidP="00023633">
      <w:pPr>
        <w:spacing w:after="0" w:line="259" w:lineRule="auto"/>
        <w:ind w:left="722" w:firstLine="0"/>
      </w:pPr>
      <w:r>
        <w:rPr>
          <w:b/>
          <w:color w:val="000000"/>
          <w:sz w:val="17"/>
        </w:rPr>
        <w:t xml:space="preserve">Imagem </w:t>
      </w:r>
      <w:r w:rsidR="00DE5544">
        <w:rPr>
          <w:b/>
          <w:color w:val="000000"/>
          <w:sz w:val="17"/>
        </w:rPr>
        <w:t>4</w:t>
      </w:r>
      <w:r>
        <w:rPr>
          <w:b/>
          <w:color w:val="000000"/>
          <w:sz w:val="17"/>
        </w:rPr>
        <w:t>:</w:t>
      </w:r>
      <w:r w:rsidRPr="00C5631B">
        <w:t xml:space="preserve"> </w:t>
      </w:r>
      <w:r>
        <w:rPr>
          <w:bCs/>
          <w:color w:val="000000"/>
          <w:sz w:val="17"/>
        </w:rPr>
        <w:t>Receita por país</w:t>
      </w:r>
    </w:p>
    <w:p w14:paraId="301F2C0E" w14:textId="5DFD581C" w:rsidR="00C15698" w:rsidRPr="00D970D9" w:rsidRDefault="00C15698" w:rsidP="00C5631B">
      <w:pPr>
        <w:spacing w:after="0" w:line="259" w:lineRule="auto"/>
        <w:ind w:left="0" w:firstLine="0"/>
        <w:jc w:val="left"/>
      </w:pPr>
    </w:p>
    <w:p w14:paraId="458022CA" w14:textId="2D9E2537" w:rsidR="00C15698" w:rsidRDefault="006265B3" w:rsidP="00C5631B">
      <w:pPr>
        <w:spacing w:after="0" w:line="259" w:lineRule="auto"/>
        <w:ind w:left="0" w:firstLine="0"/>
        <w:jc w:val="left"/>
      </w:pPr>
      <w:r>
        <w:t xml:space="preserve">     </w:t>
      </w:r>
      <w:r w:rsidR="00DE5544" w:rsidRPr="00DE5544">
        <w:t>Esse gráfico fornece uma visão clara das diferenças de receita gerada pelo turismo entre os países. Países com barras mais altas indicam uma maior geração de receita, o que pode refletir fatores como infraestrutura turística, popularidade entre turistas internacionais ou preços mais altos para atrações e serviços. As anotações facilitam a leitura direta dos valores sem precisar consultar o eixo Y. Essa visualização é particularmente útil para governos e agências de turismo ao analisar e comparar a performance econômica de seus países no setor turístico, auxiliando na tomada de decisões estratégicas para maximizar receitas futuras.</w:t>
      </w:r>
    </w:p>
    <w:p w14:paraId="5CFD2744" w14:textId="12BEBC42" w:rsidR="006265B3" w:rsidRDefault="006265B3" w:rsidP="00C5631B">
      <w:pPr>
        <w:spacing w:after="0" w:line="259" w:lineRule="auto"/>
        <w:ind w:left="0" w:firstLine="0"/>
        <w:jc w:val="left"/>
      </w:pPr>
    </w:p>
    <w:p w14:paraId="3A48EB3F" w14:textId="0E80A006" w:rsidR="006265B3" w:rsidRDefault="006265B3" w:rsidP="00C5631B">
      <w:pPr>
        <w:spacing w:after="0" w:line="259" w:lineRule="auto"/>
        <w:ind w:left="0" w:firstLine="0"/>
        <w:jc w:val="left"/>
      </w:pPr>
      <w:r w:rsidRPr="006265B3">
        <w:drawing>
          <wp:inline distT="0" distB="0" distL="0" distR="0" wp14:anchorId="7787CC89" wp14:editId="61DF11FF">
            <wp:extent cx="2057400" cy="201956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7075" cy="2029058"/>
                    </a:xfrm>
                    <a:prstGeom prst="rect">
                      <a:avLst/>
                    </a:prstGeom>
                  </pic:spPr>
                </pic:pic>
              </a:graphicData>
            </a:graphic>
          </wp:inline>
        </w:drawing>
      </w:r>
    </w:p>
    <w:p w14:paraId="2AE8E1F5" w14:textId="45C24318" w:rsidR="006265B3" w:rsidRDefault="006265B3" w:rsidP="006265B3">
      <w:pPr>
        <w:spacing w:after="0" w:line="259" w:lineRule="auto"/>
        <w:ind w:left="722" w:firstLine="0"/>
        <w:rPr>
          <w:bCs/>
          <w:color w:val="000000"/>
          <w:sz w:val="17"/>
        </w:rPr>
      </w:pPr>
      <w:r>
        <w:rPr>
          <w:b/>
          <w:color w:val="000000"/>
          <w:sz w:val="17"/>
        </w:rPr>
        <w:t xml:space="preserve">Imagem </w:t>
      </w:r>
      <w:r>
        <w:rPr>
          <w:b/>
          <w:color w:val="000000"/>
          <w:sz w:val="17"/>
        </w:rPr>
        <w:t>5</w:t>
      </w:r>
      <w:r>
        <w:rPr>
          <w:b/>
          <w:color w:val="000000"/>
          <w:sz w:val="17"/>
        </w:rPr>
        <w:t>:</w:t>
      </w:r>
      <w:r w:rsidRPr="00C5631B">
        <w:t xml:space="preserve"> </w:t>
      </w:r>
      <w:r>
        <w:rPr>
          <w:bCs/>
          <w:color w:val="000000"/>
          <w:sz w:val="17"/>
        </w:rPr>
        <w:t>Receita por país</w:t>
      </w:r>
    </w:p>
    <w:p w14:paraId="4894D94B" w14:textId="1160E977" w:rsidR="006265B3" w:rsidRDefault="006265B3" w:rsidP="006265B3">
      <w:pPr>
        <w:spacing w:after="0" w:line="259" w:lineRule="auto"/>
        <w:ind w:left="722" w:firstLine="0"/>
      </w:pPr>
    </w:p>
    <w:p w14:paraId="4DE93E31" w14:textId="7B822129" w:rsidR="006265B3" w:rsidRPr="00D970D9" w:rsidRDefault="006265B3" w:rsidP="006265B3">
      <w:pPr>
        <w:spacing w:after="0" w:line="259" w:lineRule="auto"/>
        <w:jc w:val="left"/>
      </w:pPr>
      <w:r>
        <w:t xml:space="preserve">     </w:t>
      </w:r>
      <w:r w:rsidRPr="006265B3">
        <w:t>Os gráficos de pizza permitem uma visualização rápida e intuitiva da disponibilidade de acomodações</w:t>
      </w:r>
      <w:r>
        <w:t xml:space="preserve"> no Brasil</w:t>
      </w:r>
      <w:r w:rsidRPr="006265B3">
        <w:t>. Eles indicam se a maioria dos locais de turismo em um determinado país têm acomodações disponíveis para os turistas ou não. Isso é particularmente útil para operadores de turismo e planejadores que estão avaliando a infraestrutura disponível em cada país. Países com uma alta proporção de locais sem acomodações podem precisar de investimentos em infraestrutura para melhorar a experiência turística e atrair mais visitantes.</w:t>
      </w:r>
    </w:p>
    <w:p w14:paraId="2D22CB95" w14:textId="77777777" w:rsidR="006265B3" w:rsidRDefault="006265B3" w:rsidP="00C5631B">
      <w:pPr>
        <w:spacing w:after="0" w:line="259" w:lineRule="auto"/>
        <w:ind w:left="0" w:firstLine="0"/>
        <w:jc w:val="left"/>
      </w:pPr>
    </w:p>
    <w:p w14:paraId="6128D48B" w14:textId="77777777" w:rsidR="006265B3" w:rsidRPr="00D970D9" w:rsidRDefault="006265B3" w:rsidP="00C5631B">
      <w:pPr>
        <w:spacing w:after="0" w:line="259" w:lineRule="auto"/>
        <w:ind w:left="0" w:firstLine="0"/>
        <w:jc w:val="left"/>
      </w:pPr>
    </w:p>
    <w:p w14:paraId="708DC789" w14:textId="77777777" w:rsidR="006265B3" w:rsidRDefault="006265B3" w:rsidP="00C5631B">
      <w:pPr>
        <w:spacing w:after="0" w:line="259" w:lineRule="auto"/>
        <w:ind w:left="0" w:firstLine="0"/>
        <w:jc w:val="left"/>
        <w:sectPr w:rsidR="006265B3" w:rsidSect="001E7BBC">
          <w:type w:val="continuous"/>
          <w:pgSz w:w="11906" w:h="16820"/>
          <w:pgMar w:top="1440" w:right="1080" w:bottom="1440" w:left="1080" w:header="720" w:footer="720" w:gutter="0"/>
          <w:cols w:num="2" w:space="720"/>
          <w:docGrid w:linePitch="245"/>
        </w:sectPr>
      </w:pPr>
    </w:p>
    <w:p w14:paraId="26A9440F" w14:textId="2BA1D24B" w:rsidR="006265B3" w:rsidRDefault="006265B3" w:rsidP="006265B3">
      <w:pPr>
        <w:spacing w:after="101" w:line="259" w:lineRule="auto"/>
        <w:ind w:left="136" w:firstLine="0"/>
        <w:jc w:val="left"/>
        <w:rPr>
          <w:b/>
          <w:bCs/>
        </w:rPr>
      </w:pPr>
      <w:r w:rsidRPr="006265B3">
        <w:rPr>
          <w:b/>
          <w:bCs/>
        </w:rPr>
        <w:lastRenderedPageBreak/>
        <w:t>Takeaways</w:t>
      </w:r>
      <w:r w:rsidRPr="001B02BA">
        <w:rPr>
          <w:b/>
          <w:bCs/>
        </w:rPr>
        <w:t xml:space="preserve">: </w:t>
      </w:r>
    </w:p>
    <w:p w14:paraId="7E52D199" w14:textId="41363F89" w:rsidR="006265B3" w:rsidRDefault="006265B3" w:rsidP="006265B3">
      <w:pPr>
        <w:pStyle w:val="PargrafodaLista"/>
        <w:numPr>
          <w:ilvl w:val="0"/>
          <w:numId w:val="3"/>
        </w:numPr>
        <w:spacing w:after="101" w:line="276" w:lineRule="auto"/>
        <w:jc w:val="left"/>
      </w:pPr>
      <w:r w:rsidRPr="006265B3">
        <w:rPr>
          <w:b/>
          <w:bCs/>
        </w:rPr>
        <w:t>Distribuição Desigual:</w:t>
      </w:r>
      <w:r>
        <w:t xml:space="preserve"> Alguns países e categorias dominam em termos de visitantes e receitas, indicando áreas de foco para marketing turístico.</w:t>
      </w:r>
    </w:p>
    <w:p w14:paraId="59305205" w14:textId="77777777" w:rsidR="006265B3" w:rsidRDefault="006265B3" w:rsidP="006265B3">
      <w:pPr>
        <w:pStyle w:val="PargrafodaLista"/>
        <w:spacing w:after="101" w:line="276" w:lineRule="auto"/>
        <w:ind w:left="496" w:firstLine="0"/>
        <w:jc w:val="left"/>
      </w:pPr>
    </w:p>
    <w:p w14:paraId="559482AA" w14:textId="0F3ABFEC" w:rsidR="006265B3" w:rsidRDefault="006265B3" w:rsidP="006265B3">
      <w:pPr>
        <w:pStyle w:val="PargrafodaLista"/>
        <w:numPr>
          <w:ilvl w:val="0"/>
          <w:numId w:val="3"/>
        </w:numPr>
        <w:spacing w:after="101" w:line="276" w:lineRule="auto"/>
        <w:jc w:val="left"/>
      </w:pPr>
      <w:r w:rsidRPr="006265B3">
        <w:rPr>
          <w:b/>
          <w:bCs/>
        </w:rPr>
        <w:t>Importância da Acomodação:</w:t>
      </w:r>
      <w:r>
        <w:t xml:space="preserve"> Locais com maior disponibilidade de acomodações tendem a atrair mais visitantes.</w:t>
      </w:r>
    </w:p>
    <w:p w14:paraId="5BE187B1" w14:textId="77777777" w:rsidR="006265B3" w:rsidRDefault="006265B3" w:rsidP="006265B3">
      <w:pPr>
        <w:pStyle w:val="PargrafodaLista"/>
        <w:spacing w:after="101" w:line="276" w:lineRule="auto"/>
        <w:ind w:left="496" w:firstLine="0"/>
        <w:jc w:val="left"/>
      </w:pPr>
    </w:p>
    <w:p w14:paraId="46A4C39F" w14:textId="7C968DAA" w:rsidR="006265B3" w:rsidRDefault="006265B3" w:rsidP="006265B3">
      <w:pPr>
        <w:pStyle w:val="PargrafodaLista"/>
        <w:numPr>
          <w:ilvl w:val="0"/>
          <w:numId w:val="3"/>
        </w:numPr>
        <w:spacing w:after="101" w:line="276" w:lineRule="auto"/>
        <w:jc w:val="left"/>
      </w:pPr>
      <w:r w:rsidRPr="006265B3">
        <w:rPr>
          <w:b/>
          <w:bCs/>
        </w:rPr>
        <w:t>Potencial para Otimização:</w:t>
      </w:r>
      <w:r>
        <w:t xml:space="preserve"> Os dados sugerem oportunidades para otimizar as ofertas de turismo com base nas preferências dos visitantes.</w:t>
      </w:r>
    </w:p>
    <w:p w14:paraId="29D21822" w14:textId="4A3F1176" w:rsidR="00C15698" w:rsidRPr="00D970D9" w:rsidRDefault="00C15698" w:rsidP="00C5631B">
      <w:pPr>
        <w:spacing w:after="0" w:line="259" w:lineRule="auto"/>
        <w:ind w:left="0" w:firstLine="0"/>
        <w:jc w:val="left"/>
      </w:pPr>
    </w:p>
    <w:sectPr w:rsidR="00C15698" w:rsidRPr="00D970D9" w:rsidSect="006265B3">
      <w:type w:val="continuous"/>
      <w:pgSz w:w="11906" w:h="16820"/>
      <w:pgMar w:top="1440" w:right="1080" w:bottom="1440" w:left="1080" w:header="720" w:footer="720" w:gutter="0"/>
      <w:cols w:num="2"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789B"/>
    <w:multiLevelType w:val="hybridMultilevel"/>
    <w:tmpl w:val="4DAAD316"/>
    <w:lvl w:ilvl="0" w:tplc="86A29E52">
      <w:start w:val="1"/>
      <w:numFmt w:val="bullet"/>
      <w:lvlText w:val="•"/>
      <w:lvlJc w:val="left"/>
      <w:pPr>
        <w:ind w:left="572"/>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1" w:tplc="49AC9C14">
      <w:start w:val="1"/>
      <w:numFmt w:val="bullet"/>
      <w:lvlText w:val="o"/>
      <w:lvlJc w:val="left"/>
      <w:pPr>
        <w:ind w:left="141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2" w:tplc="2C8672AA">
      <w:start w:val="1"/>
      <w:numFmt w:val="bullet"/>
      <w:lvlText w:val="▪"/>
      <w:lvlJc w:val="left"/>
      <w:pPr>
        <w:ind w:left="213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3" w:tplc="4DB217B0">
      <w:start w:val="1"/>
      <w:numFmt w:val="bullet"/>
      <w:lvlText w:val="•"/>
      <w:lvlJc w:val="left"/>
      <w:pPr>
        <w:ind w:left="285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4" w:tplc="FD6017AA">
      <w:start w:val="1"/>
      <w:numFmt w:val="bullet"/>
      <w:lvlText w:val="o"/>
      <w:lvlJc w:val="left"/>
      <w:pPr>
        <w:ind w:left="357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5" w:tplc="330EF3FE">
      <w:start w:val="1"/>
      <w:numFmt w:val="bullet"/>
      <w:lvlText w:val="▪"/>
      <w:lvlJc w:val="left"/>
      <w:pPr>
        <w:ind w:left="429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6" w:tplc="22B25FCC">
      <w:start w:val="1"/>
      <w:numFmt w:val="bullet"/>
      <w:lvlText w:val="•"/>
      <w:lvlJc w:val="left"/>
      <w:pPr>
        <w:ind w:left="501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7" w:tplc="8E748D26">
      <w:start w:val="1"/>
      <w:numFmt w:val="bullet"/>
      <w:lvlText w:val="o"/>
      <w:lvlJc w:val="left"/>
      <w:pPr>
        <w:ind w:left="573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8" w:tplc="6AA48A0C">
      <w:start w:val="1"/>
      <w:numFmt w:val="bullet"/>
      <w:lvlText w:val="▪"/>
      <w:lvlJc w:val="left"/>
      <w:pPr>
        <w:ind w:left="645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abstractNum>
  <w:abstractNum w:abstractNumId="1" w15:restartNumberingAfterBreak="0">
    <w:nsid w:val="265C40B6"/>
    <w:multiLevelType w:val="hybridMultilevel"/>
    <w:tmpl w:val="8CB2E9E2"/>
    <w:lvl w:ilvl="0" w:tplc="04160001">
      <w:start w:val="1"/>
      <w:numFmt w:val="bullet"/>
      <w:lvlText w:val=""/>
      <w:lvlJc w:val="left"/>
      <w:pPr>
        <w:ind w:left="860" w:hanging="360"/>
      </w:pPr>
      <w:rPr>
        <w:rFonts w:ascii="Symbol" w:hAnsi="Symbol" w:hint="default"/>
      </w:rPr>
    </w:lvl>
    <w:lvl w:ilvl="1" w:tplc="04160003" w:tentative="1">
      <w:start w:val="1"/>
      <w:numFmt w:val="bullet"/>
      <w:lvlText w:val="o"/>
      <w:lvlJc w:val="left"/>
      <w:pPr>
        <w:ind w:left="1580" w:hanging="360"/>
      </w:pPr>
      <w:rPr>
        <w:rFonts w:ascii="Courier New" w:hAnsi="Courier New" w:cs="Courier New" w:hint="default"/>
      </w:rPr>
    </w:lvl>
    <w:lvl w:ilvl="2" w:tplc="04160005" w:tentative="1">
      <w:start w:val="1"/>
      <w:numFmt w:val="bullet"/>
      <w:lvlText w:val=""/>
      <w:lvlJc w:val="left"/>
      <w:pPr>
        <w:ind w:left="2300" w:hanging="360"/>
      </w:pPr>
      <w:rPr>
        <w:rFonts w:ascii="Wingdings" w:hAnsi="Wingdings" w:hint="default"/>
      </w:rPr>
    </w:lvl>
    <w:lvl w:ilvl="3" w:tplc="04160001" w:tentative="1">
      <w:start w:val="1"/>
      <w:numFmt w:val="bullet"/>
      <w:lvlText w:val=""/>
      <w:lvlJc w:val="left"/>
      <w:pPr>
        <w:ind w:left="3020" w:hanging="360"/>
      </w:pPr>
      <w:rPr>
        <w:rFonts w:ascii="Symbol" w:hAnsi="Symbol" w:hint="default"/>
      </w:rPr>
    </w:lvl>
    <w:lvl w:ilvl="4" w:tplc="04160003" w:tentative="1">
      <w:start w:val="1"/>
      <w:numFmt w:val="bullet"/>
      <w:lvlText w:val="o"/>
      <w:lvlJc w:val="left"/>
      <w:pPr>
        <w:ind w:left="3740" w:hanging="360"/>
      </w:pPr>
      <w:rPr>
        <w:rFonts w:ascii="Courier New" w:hAnsi="Courier New" w:cs="Courier New" w:hint="default"/>
      </w:rPr>
    </w:lvl>
    <w:lvl w:ilvl="5" w:tplc="04160005" w:tentative="1">
      <w:start w:val="1"/>
      <w:numFmt w:val="bullet"/>
      <w:lvlText w:val=""/>
      <w:lvlJc w:val="left"/>
      <w:pPr>
        <w:ind w:left="4460" w:hanging="360"/>
      </w:pPr>
      <w:rPr>
        <w:rFonts w:ascii="Wingdings" w:hAnsi="Wingdings" w:hint="default"/>
      </w:rPr>
    </w:lvl>
    <w:lvl w:ilvl="6" w:tplc="04160001" w:tentative="1">
      <w:start w:val="1"/>
      <w:numFmt w:val="bullet"/>
      <w:lvlText w:val=""/>
      <w:lvlJc w:val="left"/>
      <w:pPr>
        <w:ind w:left="5180" w:hanging="360"/>
      </w:pPr>
      <w:rPr>
        <w:rFonts w:ascii="Symbol" w:hAnsi="Symbol" w:hint="default"/>
      </w:rPr>
    </w:lvl>
    <w:lvl w:ilvl="7" w:tplc="04160003" w:tentative="1">
      <w:start w:val="1"/>
      <w:numFmt w:val="bullet"/>
      <w:lvlText w:val="o"/>
      <w:lvlJc w:val="left"/>
      <w:pPr>
        <w:ind w:left="5900" w:hanging="360"/>
      </w:pPr>
      <w:rPr>
        <w:rFonts w:ascii="Courier New" w:hAnsi="Courier New" w:cs="Courier New" w:hint="default"/>
      </w:rPr>
    </w:lvl>
    <w:lvl w:ilvl="8" w:tplc="04160005" w:tentative="1">
      <w:start w:val="1"/>
      <w:numFmt w:val="bullet"/>
      <w:lvlText w:val=""/>
      <w:lvlJc w:val="left"/>
      <w:pPr>
        <w:ind w:left="6620" w:hanging="360"/>
      </w:pPr>
      <w:rPr>
        <w:rFonts w:ascii="Wingdings" w:hAnsi="Wingdings" w:hint="default"/>
      </w:rPr>
    </w:lvl>
  </w:abstractNum>
  <w:abstractNum w:abstractNumId="2" w15:restartNumberingAfterBreak="0">
    <w:nsid w:val="36C55AEF"/>
    <w:multiLevelType w:val="hybridMultilevel"/>
    <w:tmpl w:val="B12A19A8"/>
    <w:lvl w:ilvl="0" w:tplc="04160001">
      <w:start w:val="1"/>
      <w:numFmt w:val="bullet"/>
      <w:lvlText w:val=""/>
      <w:lvlJc w:val="left"/>
      <w:pPr>
        <w:ind w:left="496" w:hanging="360"/>
      </w:pPr>
      <w:rPr>
        <w:rFonts w:ascii="Symbol" w:hAnsi="Symbol" w:hint="default"/>
      </w:rPr>
    </w:lvl>
    <w:lvl w:ilvl="1" w:tplc="04160003" w:tentative="1">
      <w:start w:val="1"/>
      <w:numFmt w:val="bullet"/>
      <w:lvlText w:val="o"/>
      <w:lvlJc w:val="left"/>
      <w:pPr>
        <w:ind w:left="1216" w:hanging="360"/>
      </w:pPr>
      <w:rPr>
        <w:rFonts w:ascii="Courier New" w:hAnsi="Courier New" w:cs="Courier New" w:hint="default"/>
      </w:rPr>
    </w:lvl>
    <w:lvl w:ilvl="2" w:tplc="04160005" w:tentative="1">
      <w:start w:val="1"/>
      <w:numFmt w:val="bullet"/>
      <w:lvlText w:val=""/>
      <w:lvlJc w:val="left"/>
      <w:pPr>
        <w:ind w:left="1936" w:hanging="360"/>
      </w:pPr>
      <w:rPr>
        <w:rFonts w:ascii="Wingdings" w:hAnsi="Wingdings" w:hint="default"/>
      </w:rPr>
    </w:lvl>
    <w:lvl w:ilvl="3" w:tplc="04160001" w:tentative="1">
      <w:start w:val="1"/>
      <w:numFmt w:val="bullet"/>
      <w:lvlText w:val=""/>
      <w:lvlJc w:val="left"/>
      <w:pPr>
        <w:ind w:left="2656" w:hanging="360"/>
      </w:pPr>
      <w:rPr>
        <w:rFonts w:ascii="Symbol" w:hAnsi="Symbol" w:hint="default"/>
      </w:rPr>
    </w:lvl>
    <w:lvl w:ilvl="4" w:tplc="04160003" w:tentative="1">
      <w:start w:val="1"/>
      <w:numFmt w:val="bullet"/>
      <w:lvlText w:val="o"/>
      <w:lvlJc w:val="left"/>
      <w:pPr>
        <w:ind w:left="3376" w:hanging="360"/>
      </w:pPr>
      <w:rPr>
        <w:rFonts w:ascii="Courier New" w:hAnsi="Courier New" w:cs="Courier New" w:hint="default"/>
      </w:rPr>
    </w:lvl>
    <w:lvl w:ilvl="5" w:tplc="04160005" w:tentative="1">
      <w:start w:val="1"/>
      <w:numFmt w:val="bullet"/>
      <w:lvlText w:val=""/>
      <w:lvlJc w:val="left"/>
      <w:pPr>
        <w:ind w:left="4096" w:hanging="360"/>
      </w:pPr>
      <w:rPr>
        <w:rFonts w:ascii="Wingdings" w:hAnsi="Wingdings" w:hint="default"/>
      </w:rPr>
    </w:lvl>
    <w:lvl w:ilvl="6" w:tplc="04160001" w:tentative="1">
      <w:start w:val="1"/>
      <w:numFmt w:val="bullet"/>
      <w:lvlText w:val=""/>
      <w:lvlJc w:val="left"/>
      <w:pPr>
        <w:ind w:left="4816" w:hanging="360"/>
      </w:pPr>
      <w:rPr>
        <w:rFonts w:ascii="Symbol" w:hAnsi="Symbol" w:hint="default"/>
      </w:rPr>
    </w:lvl>
    <w:lvl w:ilvl="7" w:tplc="04160003" w:tentative="1">
      <w:start w:val="1"/>
      <w:numFmt w:val="bullet"/>
      <w:lvlText w:val="o"/>
      <w:lvlJc w:val="left"/>
      <w:pPr>
        <w:ind w:left="5536" w:hanging="360"/>
      </w:pPr>
      <w:rPr>
        <w:rFonts w:ascii="Courier New" w:hAnsi="Courier New" w:cs="Courier New" w:hint="default"/>
      </w:rPr>
    </w:lvl>
    <w:lvl w:ilvl="8" w:tplc="04160005" w:tentative="1">
      <w:start w:val="1"/>
      <w:numFmt w:val="bullet"/>
      <w:lvlText w:val=""/>
      <w:lvlJc w:val="left"/>
      <w:pPr>
        <w:ind w:left="625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1EF"/>
    <w:rsid w:val="00023633"/>
    <w:rsid w:val="00061579"/>
    <w:rsid w:val="001B02BA"/>
    <w:rsid w:val="001E7BBC"/>
    <w:rsid w:val="006265B3"/>
    <w:rsid w:val="00657E6B"/>
    <w:rsid w:val="00745D41"/>
    <w:rsid w:val="008154FF"/>
    <w:rsid w:val="00C0489D"/>
    <w:rsid w:val="00C15698"/>
    <w:rsid w:val="00C5631B"/>
    <w:rsid w:val="00C75C1F"/>
    <w:rsid w:val="00CA4494"/>
    <w:rsid w:val="00D970D9"/>
    <w:rsid w:val="00DA13B9"/>
    <w:rsid w:val="00DE5544"/>
    <w:rsid w:val="00FF21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46FA"/>
  <w15:docId w15:val="{BCC85930-701D-40C1-9C31-82EFD23C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314" w:lineRule="auto"/>
      <w:ind w:left="14" w:hanging="10"/>
      <w:jc w:val="both"/>
    </w:pPr>
    <w:rPr>
      <w:rFonts w:ascii="Calibri" w:eastAsia="Calibri" w:hAnsi="Calibri" w:cs="Calibri"/>
      <w:color w:val="162129"/>
      <w:sz w:val="18"/>
    </w:rPr>
  </w:style>
  <w:style w:type="paragraph" w:styleId="Ttulo1">
    <w:name w:val="heading 1"/>
    <w:next w:val="Normal"/>
    <w:link w:val="Ttulo1Char"/>
    <w:uiPriority w:val="9"/>
    <w:qFormat/>
    <w:pPr>
      <w:keepNext/>
      <w:keepLines/>
      <w:spacing w:after="0"/>
      <w:ind w:left="50"/>
      <w:outlineLvl w:val="0"/>
    </w:pPr>
    <w:rPr>
      <w:rFonts w:ascii="Calibri" w:eastAsia="Calibri" w:hAnsi="Calibri" w:cs="Calibri"/>
      <w:b/>
      <w:color w:val="162129"/>
      <w:sz w:val="28"/>
    </w:rPr>
  </w:style>
  <w:style w:type="paragraph" w:styleId="Ttulo2">
    <w:name w:val="heading 2"/>
    <w:next w:val="Normal"/>
    <w:link w:val="Ttulo2Char"/>
    <w:uiPriority w:val="9"/>
    <w:unhideWhenUsed/>
    <w:qFormat/>
    <w:pPr>
      <w:keepNext/>
      <w:keepLines/>
      <w:spacing w:after="388"/>
      <w:ind w:left="511"/>
      <w:jc w:val="center"/>
      <w:outlineLvl w:val="1"/>
    </w:pPr>
    <w:rPr>
      <w:rFonts w:ascii="Calibri" w:eastAsia="Calibri" w:hAnsi="Calibri" w:cs="Calibri"/>
      <w:color w:val="000000"/>
      <w:sz w:val="14"/>
    </w:rPr>
  </w:style>
  <w:style w:type="paragraph" w:styleId="Ttulo3">
    <w:name w:val="heading 3"/>
    <w:basedOn w:val="Normal"/>
    <w:next w:val="Normal"/>
    <w:link w:val="Ttulo3Char"/>
    <w:uiPriority w:val="9"/>
    <w:semiHidden/>
    <w:unhideWhenUsed/>
    <w:qFormat/>
    <w:rsid w:val="00C56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color w:val="000000"/>
      <w:sz w:val="14"/>
    </w:rPr>
  </w:style>
  <w:style w:type="character" w:customStyle="1" w:styleId="Ttulo1Char">
    <w:name w:val="Título 1 Char"/>
    <w:link w:val="Ttulo1"/>
    <w:rPr>
      <w:rFonts w:ascii="Calibri" w:eastAsia="Calibri" w:hAnsi="Calibri" w:cs="Calibri"/>
      <w:b/>
      <w:color w:val="16212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1B02BA"/>
    <w:pPr>
      <w:ind w:left="720"/>
      <w:contextualSpacing/>
    </w:pPr>
  </w:style>
  <w:style w:type="character" w:customStyle="1" w:styleId="Ttulo3Char">
    <w:name w:val="Título 3 Char"/>
    <w:basedOn w:val="Fontepargpadro"/>
    <w:link w:val="Ttulo3"/>
    <w:uiPriority w:val="9"/>
    <w:semiHidden/>
    <w:rsid w:val="00C5631B"/>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D970D9"/>
    <w:rPr>
      <w:color w:val="0563C1" w:themeColor="hyperlink"/>
      <w:u w:val="single"/>
    </w:rPr>
  </w:style>
  <w:style w:type="character" w:styleId="MenoPendente">
    <w:name w:val="Unresolved Mention"/>
    <w:basedOn w:val="Fontepargpadro"/>
    <w:uiPriority w:val="99"/>
    <w:semiHidden/>
    <w:unhideWhenUsed/>
    <w:rsid w:val="00D970D9"/>
    <w:rPr>
      <w:color w:val="605E5C"/>
      <w:shd w:val="clear" w:color="auto" w:fill="E1DFDD"/>
    </w:rPr>
  </w:style>
  <w:style w:type="character" w:styleId="HiperlinkVisitado">
    <w:name w:val="FollowedHyperlink"/>
    <w:basedOn w:val="Fontepargpadro"/>
    <w:uiPriority w:val="99"/>
    <w:semiHidden/>
    <w:unhideWhenUsed/>
    <w:rsid w:val="00D97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95678">
      <w:bodyDiv w:val="1"/>
      <w:marLeft w:val="0"/>
      <w:marRight w:val="0"/>
      <w:marTop w:val="0"/>
      <w:marBottom w:val="0"/>
      <w:divBdr>
        <w:top w:val="none" w:sz="0" w:space="0" w:color="auto"/>
        <w:left w:val="none" w:sz="0" w:space="0" w:color="auto"/>
        <w:bottom w:val="none" w:sz="0" w:space="0" w:color="auto"/>
        <w:right w:val="none" w:sz="0" w:space="0" w:color="auto"/>
      </w:divBdr>
      <w:divsChild>
        <w:div w:id="1740324696">
          <w:marLeft w:val="0"/>
          <w:marRight w:val="0"/>
          <w:marTop w:val="0"/>
          <w:marBottom w:val="0"/>
          <w:divBdr>
            <w:top w:val="none" w:sz="0" w:space="0" w:color="auto"/>
            <w:left w:val="none" w:sz="0" w:space="0" w:color="auto"/>
            <w:bottom w:val="none" w:sz="0" w:space="0" w:color="auto"/>
            <w:right w:val="none" w:sz="0" w:space="0" w:color="auto"/>
          </w:divBdr>
          <w:divsChild>
            <w:div w:id="1740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528">
      <w:bodyDiv w:val="1"/>
      <w:marLeft w:val="0"/>
      <w:marRight w:val="0"/>
      <w:marTop w:val="0"/>
      <w:marBottom w:val="0"/>
      <w:divBdr>
        <w:top w:val="none" w:sz="0" w:space="0" w:color="auto"/>
        <w:left w:val="none" w:sz="0" w:space="0" w:color="auto"/>
        <w:bottom w:val="none" w:sz="0" w:space="0" w:color="auto"/>
        <w:right w:val="none" w:sz="0" w:space="0" w:color="auto"/>
      </w:divBdr>
    </w:div>
    <w:div w:id="1073284174">
      <w:bodyDiv w:val="1"/>
      <w:marLeft w:val="0"/>
      <w:marRight w:val="0"/>
      <w:marTop w:val="0"/>
      <w:marBottom w:val="0"/>
      <w:divBdr>
        <w:top w:val="none" w:sz="0" w:space="0" w:color="auto"/>
        <w:left w:val="none" w:sz="0" w:space="0" w:color="auto"/>
        <w:bottom w:val="none" w:sz="0" w:space="0" w:color="auto"/>
        <w:right w:val="none" w:sz="0" w:space="0" w:color="auto"/>
      </w:divBdr>
    </w:div>
    <w:div w:id="1183976696">
      <w:bodyDiv w:val="1"/>
      <w:marLeft w:val="0"/>
      <w:marRight w:val="0"/>
      <w:marTop w:val="0"/>
      <w:marBottom w:val="0"/>
      <w:divBdr>
        <w:top w:val="none" w:sz="0" w:space="0" w:color="auto"/>
        <w:left w:val="none" w:sz="0" w:space="0" w:color="auto"/>
        <w:bottom w:val="none" w:sz="0" w:space="0" w:color="auto"/>
        <w:right w:val="none" w:sz="0" w:space="0" w:color="auto"/>
      </w:divBdr>
      <w:divsChild>
        <w:div w:id="313679246">
          <w:marLeft w:val="0"/>
          <w:marRight w:val="0"/>
          <w:marTop w:val="0"/>
          <w:marBottom w:val="0"/>
          <w:divBdr>
            <w:top w:val="none" w:sz="0" w:space="0" w:color="auto"/>
            <w:left w:val="none" w:sz="0" w:space="0" w:color="auto"/>
            <w:bottom w:val="none" w:sz="0" w:space="0" w:color="auto"/>
            <w:right w:val="none" w:sz="0" w:space="0" w:color="auto"/>
          </w:divBdr>
          <w:divsChild>
            <w:div w:id="14955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1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834</Words>
  <Characters>4507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Gomes</dc:creator>
  <cp:keywords/>
  <cp:lastModifiedBy>Ciro Gomes</cp:lastModifiedBy>
  <cp:revision>3</cp:revision>
  <cp:lastPrinted>2024-09-09T06:54:00Z</cp:lastPrinted>
  <dcterms:created xsi:type="dcterms:W3CDTF">2024-09-09T06:54:00Z</dcterms:created>
  <dcterms:modified xsi:type="dcterms:W3CDTF">2024-09-09T06:54:00Z</dcterms:modified>
</cp:coreProperties>
</file>