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7A4C"/>
          <w:sz w:val="68"/>
        </w:rPr>
        <w:t>DistroForge</w:t>
      </w:r>
    </w:p>
    <w:p>
      <w:r>
        <w:rPr>
          <w:color w:val="141C17"/>
          <w:sz w:val="30"/>
        </w:rPr>
        <w:t>Manual técnico · versión 1.0</w:t>
      </w:r>
    </w:p>
    <w:p>
      <w:r>
        <w:rPr>
          <w:color w:val="59655E"/>
          <w:sz w:val="22"/>
        </w:rPr>
        <w:t>App web, app de escritorio y backend</w:t>
        <w:br/>
        <w:t>17/10/2026</w:t>
        <w:br/>
        <w:br/>
        <w:t>Constructor de distribuciones Linux: de una receta a una ISO, una imagen de disco, un contenedor OCI o una imagen WSL.</w:t>
      </w:r>
    </w:p>
    <w:p>
      <w:pPr>
        <w:pStyle w:val="Heading1"/>
      </w:pPr>
      <w:r>
        <w:rPr>
          <w:color w:val="1F7A4C"/>
        </w:rPr>
        <w:t>1. Qué es DistroForge</w:t>
      </w:r>
    </w:p>
    <w:p>
      <w:r>
        <w:t>DistroForge monta distribuciones Linux personalizadas desde el navegador. Eliges la base, el escritorio, los paquetes, los repositorios, el sistema y la identidad visual, y la herramienta genera el proyecto de construcción completo: la receta del motor que elijas, un build.sh para lanzarlo en local y un workflow de GitHub Actions para construirlo en CI. El resultado se descarga como zip y, si quieres, se comparte por enlace o se publica en la galería comunitaria.</w:t>
      </w:r>
    </w:p>
    <w:p>
      <w:r>
        <w:t>Es el sucesor espiritual de SUSE Studio, que se apagó en 2018. De aquel modelo conserva lo que funcionaba: navegación por pestañas no lineal, un resumen persistente de la receta, catálogo por grupos con recuento y una vista previa del escritorio. El Test Drive —arrancar la imagen en el navegador sin descargarla— también viene de ahí.</w:t>
      </w:r>
    </w:p>
    <w:p>
      <w:r>
        <w:t>Importante: la ISO no se compila dentro del navegador. Lo que se genera es el proyecto de construcción (recetas, scripts y CI) que produce la imagen allí donde lo lances.</w:t>
      </w:r>
    </w:p>
    <w:p>
      <w:pPr>
        <w:pStyle w:val="Heading1"/>
      </w:pPr>
      <w:r>
        <w:rPr>
          <w:color w:val="1F7A4C"/>
        </w:rPr>
        <w:t>2. Arquitectura</w:t>
      </w:r>
    </w:p>
    <w:p>
      <w:r>
        <w:t>Todo el código es Rust desde la v0.4.0: la UI web (Leptos/WASM), el núcleo generador, el CLI, el backend (axum) y la app de escritorio (Tauri 2).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400"/>
          </w:tcPr>
          <w:p>
            <w:r/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5600"/>
          </w:tcPr>
          <w:p>
            <w:r/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forge-core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Rust (crate)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Catálogo, validación y generadores de recetas. ~80 tests.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forge-cli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Rust (binario `forge`)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Vuelca a disco el proyecto generado sin interfaz.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forge-wasm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wasm-bindgen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Expone el núcleo a la app web.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web-ui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Leptos 0.7 CSR + Trunk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La app: seis pasos, vista previa, galería y sección Servidor.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server-rs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axum + rusqlite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Cuentas, galería con FTS5 y Test Drive VNC.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tauri-app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Tauri 2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App de escritorio que sirve el bundle de la UI.</w:t>
            </w:r>
          </w:p>
        </w:tc>
      </w:tr>
    </w:tbl>
    <w:p/>
    <w:p>
      <w:r>
        <w:t>La UI es CSR (client-side rendering): se compila a WebAssembly y todo el trabajo de generación ocurre en el navegador. El backend es opcional y solo aporta lo que necesita servidor: cuentas, galería pública compartida y Test Drive.</w:t>
      </w:r>
    </w:p>
    <w:p>
      <w:pPr>
        <w:pStyle w:val="Heading1"/>
      </w:pPr>
      <w:r>
        <w:rPr>
          <w:color w:val="1F7A4C"/>
        </w:rPr>
        <w:t>3. El catálogo</w:t>
      </w:r>
    </w:p>
    <w:p>
      <w:pPr>
        <w:pStyle w:val="Heading2"/>
      </w:pPr>
      <w:r>
        <w:rPr>
          <w:color w:val="141C17"/>
        </w:rPr>
        <w:t>3.1 Bases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0"/>
          </w:tcPr>
          <w:p>
            <w:r/>
            <w:r>
              <w:rPr>
                <w:b/>
                <w:sz w:val="18"/>
              </w:rPr>
              <w:t>Familia</w:t>
            </w:r>
          </w:p>
        </w:tc>
        <w:tc>
          <w:tcPr>
            <w:tcW w:type="dxa" w:w="4800"/>
          </w:tcPr>
          <w:p>
            <w:r/>
            <w:r>
              <w:rPr>
                <w:b/>
                <w:sz w:val="18"/>
              </w:rPr>
              <w:t>Versiones</w:t>
            </w:r>
          </w:p>
        </w:tc>
        <w:tc>
          <w:tcPr>
            <w:tcW w:type="dxa" w:w="1400"/>
          </w:tcPr>
          <w:p>
            <w:r/>
            <w:r>
              <w:rPr>
                <w:b/>
                <w:sz w:val="18"/>
              </w:rPr>
              <w:t>Gestor</w:t>
            </w:r>
          </w:p>
        </w:tc>
        <w:tc>
          <w:tcPr>
            <w:tcW w:type="dxa" w:w="2400"/>
          </w:tcPr>
          <w:p>
            <w:r/>
            <w:r>
              <w:rPr>
                <w:b/>
                <w:sz w:val="18"/>
              </w:rPr>
              <w:t>Motor por defecto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8"/>
              </w:rPr>
              <w:t>openSUSE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Tumbleweed, Leap 15.6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zypper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KIWI NG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8"/>
              </w:rPr>
              <w:t>Debian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Debian 12, Ubuntu 24.04, Mint, elementary, Pop!_OS, Zorin, Kali, MX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apt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live-build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8"/>
              </w:rPr>
              <w:t>Arch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Arch, Manjaro, CachyOS, Garuda, SteamOS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pacman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mkarchiso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8"/>
              </w:rPr>
              <w:t>Fedora / RHEL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Fedora 44, AlmaLinux 9, Rocky Linux 9, Oracle Linux 9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dnf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kickstart + livemedia-creator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8"/>
              </w:rPr>
              <w:t>Gentoo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rolling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portage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guía manual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8"/>
              </w:rPr>
              <w:t>Solus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rolling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eopkg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guía manual</w:t>
            </w:r>
          </w:p>
        </w:tc>
      </w:tr>
    </w:tbl>
    <w:p/>
    <w:p>
      <w:pPr>
        <w:pStyle w:val="Heading2"/>
      </w:pPr>
      <w:r>
        <w:rPr>
          <w:color w:val="141C17"/>
        </w:rPr>
        <w:t>3.2 Motores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00"/>
          </w:tcPr>
          <w:p>
            <w:r/>
            <w:r>
              <w:rPr>
                <w:b/>
                <w:sz w:val="18"/>
              </w:rPr>
              <w:t>Motor</w:t>
            </w:r>
          </w:p>
        </w:tc>
        <w:tc>
          <w:tcPr>
            <w:tcW w:type="dxa" w:w="2400"/>
          </w:tcPr>
          <w:p>
            <w:r/>
            <w:r>
              <w:rPr>
                <w:b/>
                <w:sz w:val="18"/>
              </w:rPr>
              <w:t>Para qué base</w:t>
            </w:r>
          </w:p>
        </w:tc>
        <w:tc>
          <w:tcPr>
            <w:tcW w:type="dxa" w:w="5600"/>
          </w:tcPr>
          <w:p>
            <w:r/>
            <w:r>
              <w:rPr>
                <w:b/>
                <w:sz w:val="18"/>
              </w:rPr>
              <w:t>Qué produce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8"/>
              </w:rPr>
              <w:t>KIWI NG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openSUSE / SUSE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config.xml + config.sh + árbol de overlay; ISO, QCOW2, OCI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8"/>
              </w:rPr>
              <w:t>live-build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Debian y derivados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config/ completo con preseed; ISO híbrida y USB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8"/>
              </w:rPr>
              <w:t>mkarchiso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Arch y derivados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perfil de archiso (profiledef.sh, packages.x86_64)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8"/>
              </w:rPr>
              <w:t>kickstart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Fedora y clones RHEL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kickstart + livemedia-creator; ISO y disco</w:t>
            </w:r>
          </w:p>
        </w:tc>
      </w:tr>
    </w:tbl>
    <w:p/>
    <w:p>
      <w:pPr>
        <w:pStyle w:val="Heading2"/>
      </w:pPr>
      <w:r>
        <w:rPr>
          <w:color w:val="141C17"/>
        </w:rPr>
        <w:t>3.3 Salidas y arquitecturas</w:t>
      </w:r>
    </w:p>
    <w:p>
      <w:r>
        <w:t>Formatos: ISO híbrida, QCOW2, USB/raw, VMDK, VDI, VHD, OCI (con SBOM syft, escaneo trivy y firma cosign opcional) y WSL. Arquitecturas: x86_64, aarch64, armhf (con QEMU) e i386. El CI del proyecto generado usa runners ARM nativos cuando la arquitectura es aarch64.</w:t>
      </w:r>
    </w:p>
    <w:p>
      <w:pPr>
        <w:pStyle w:val="Heading1"/>
      </w:pPr>
      <w:r>
        <w:rPr>
          <w:color w:val="1F7A4C"/>
        </w:rPr>
        <w:t>4. Los seis pasos</w:t>
      </w:r>
    </w:p>
    <w:p>
      <w:r>
        <w:t>La navegación es por pestañas y no lineal: puedes completar los pasos en cualquier orden. El resumen de la izquierda muestra en todo momento el estado de la receta, el recuento de paquetes y el espacio estimado.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00"/>
          </w:tcPr>
          <w:p>
            <w:r/>
            <w:r>
              <w:rPr>
                <w:b/>
                <w:sz w:val="18"/>
              </w:rPr>
              <w:t>Paso</w:t>
            </w:r>
          </w:p>
        </w:tc>
        <w:tc>
          <w:tcPr>
            <w:tcW w:type="dxa" w:w="3800"/>
          </w:tcPr>
          <w:p>
            <w:r/>
            <w:r>
              <w:rPr>
                <w:b/>
                <w:sz w:val="18"/>
              </w:rPr>
              <w:t>Qué se decide</w:t>
            </w:r>
          </w:p>
        </w:tc>
        <w:tc>
          <w:tcPr>
            <w:tcW w:type="dxa" w:w="4600"/>
          </w:tcPr>
          <w:p>
            <w:r/>
            <w:r>
              <w:rPr>
                <w:b/>
                <w:sz w:val="18"/>
              </w:rPr>
              <w:t>Consecuencias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8"/>
              </w:rPr>
              <w:t>Base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Familia, versión, plantilla y arquitectura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Fija el motor, los repos y los valores por defecto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8"/>
              </w:rPr>
              <w:t>Paquetes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Paquetes sueltos, grupos y packs de la galería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Afecta al tamaño y a las dependencias resueltas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8"/>
              </w:rPr>
              <w:t>Repos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Repositorios extra y sus claves GPG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Los ficheros de repo se firman en la receta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8"/>
              </w:rPr>
              <w:t>Sistema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Usuarios, servicios, red, cortafuegos, locale, GRUB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Se traduce a cada motor (kickstart, preseed, AutoYaST)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8"/>
              </w:rPr>
              <w:t>Identidad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Logo, fondo, MOTD, EULA, auto-login, icono de inicio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Vista previa WYSIWYG de GRUB, escritorio y MOTD</w:t>
            </w:r>
          </w:p>
        </w:tc>
      </w:tr>
      <w:tr>
        <w:tc>
          <w:tcPr>
            <w:tcW w:type="dxa" w:w="1200"/>
          </w:tcPr>
          <w:p>
            <w:r/>
            <w:r>
              <w:rPr>
                <w:sz w:val="18"/>
              </w:rPr>
              <w:t>Salida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Formato, arquitectura, compresión y extras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Define los artefactos del build y del CI</w:t>
            </w:r>
          </w:p>
        </w:tc>
      </w:tr>
    </w:tbl>
    <w:p/>
    <w:p>
      <w:r>
        <w:t>Además: compartir por enlace (la receta viaja codificada en la URL), exportar e importar distroforge.json, plantillas rápidas, modpacks aditivos y estimación de tamaño en vivo.</w:t>
      </w:r>
    </w:p>
    <w:p>
      <w:pPr>
        <w:pStyle w:val="Heading1"/>
      </w:pPr>
      <w:r>
        <w:rPr>
          <w:color w:val="1F7A4C"/>
        </w:rPr>
        <w:t>5. Galería comunitaria</w:t>
      </w:r>
    </w:p>
    <w:p>
      <w:r>
        <w:t>Los packs viven en gallery/: index.json con el listado y packs/*.json con cada pack. Se añaden por pull request. La app no los descarga de raw.githubusercontent: Trunk copia gallery/ dentro de dist/ durante el build y la UI la lee por ruta relativa (gallery/index.json). Así funciona con el repositorio privado, en GitHub Pages, en trunk serve y dentro del binario de escritorio, que no tiene red.</w:t>
      </w:r>
    </w:p>
    <w:p>
      <w:pPr>
        <w:spacing w:after="0" w:before="120"/>
        <w:ind w:left="200"/>
        <w:shd w:val="clear" w:color="auto" w:fill="F2F5F3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 xml:space="preserve">  "file": "packs/nas.json",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 xml:space="preserve">  "name": "NAS casero",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 xml:space="preserve">  "desc": "samba, nfs-kernel-server y smartmontools"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>}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 xml:space="preserve">        </w:t>
      </w:r>
    </w:p>
    <w:p>
      <w:r>
        <w:t>Un pack se aplica como capa aditiva sobre la receta actual: añade paquetes, servicios y ficheros, nunca la reemplaza. También se pueden importar packs por URL desde la UI.</w:t>
      </w:r>
    </w:p>
    <w:p>
      <w:pPr>
        <w:pStyle w:val="Heading1"/>
      </w:pPr>
      <w:r>
        <w:rPr>
          <w:color w:val="1F7A4C"/>
        </w:rPr>
        <w:t>6. App de escritorio</w:t>
      </w:r>
    </w:p>
    <w:p>
      <w:r>
        <w:t>rust/tauri-app sirve el bundle ya compilado de la UI en una ventana nativa y expone el núcleo por IPC como punto de extensión. Funciona sin conexión: la galería viaja en el bundle y el ZIP se genera con una copia local de fflate.</w:t>
      </w:r>
    </w:p>
    <w:p>
      <w:pPr>
        <w:spacing w:after="0" w:before="120"/>
        <w:ind w:left="200"/>
        <w:shd w:val="clear" w:color="auto" w:fill="F2F5F3"/>
      </w:pPr>
      <w:r>
        <w:rPr>
          <w:rFonts w:ascii="Consolas" w:hAnsi="Consolas"/>
          <w:sz w:val="18"/>
        </w:rPr>
        <w:t>cd rust/web-ui &amp;&amp; trunk build --release            # bundle que consume Tauri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>cd rust/tauri-app/src-tauri &amp;&amp; cargo tauri build   # paquete de la plataforma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>cd rust/web-ui &amp;&amp; trunk serve                      # desarrollo (Tauri apunta a :8080)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 xml:space="preserve">        </w:t>
      </w:r>
    </w:p>
    <w:p>
      <w:r>
        <w:t>La UI se compila antes y en su propio paso: los hooks de Tauri corren desde rust/tauri-app, no desde src-tauri, así que una ruta relativa no resuelve. El workflow de release empaqueta en matriz Linux (deb, rpm, appimage) y Windows (msi, nsis), sube artefactos en cada ejecución y publica la Release solo con un tag v*. Los iconos se generan con tools/make_icons.py.</w:t>
      </w:r>
    </w:p>
    <w:p>
      <w:pPr>
        <w:pStyle w:val="Heading1"/>
      </w:pPr>
      <w:r>
        <w:rPr>
          <w:color w:val="1F7A4C"/>
        </w:rPr>
        <w:t>7. Backend</w:t>
      </w:r>
    </w:p>
    <w:p>
      <w:r>
        <w:t>server-rs es el backend, en axum. Es opcional: sin él la app funciona entera salvo las funciones de comunidad.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00"/>
          </w:tcPr>
          <w:p>
            <w:r/>
            <w:r>
              <w:rPr>
                <w:b/>
                <w:sz w:val="18"/>
              </w:rPr>
              <w:t>Método y ruta</w:t>
            </w:r>
          </w:p>
        </w:tc>
        <w:tc>
          <w:tcPr>
            <w:tcW w:type="dxa" w:w="5600"/>
          </w:tcPr>
          <w:p>
            <w:r/>
            <w:r>
              <w:rPr>
                <w:b/>
                <w:sz w:val="18"/>
              </w:rPr>
              <w:t>Para qué</w:t>
            </w:r>
          </w:p>
        </w:tc>
      </w:tr>
      <w:tr>
        <w:tc>
          <w:tcPr>
            <w:tcW w:type="dxa" w:w="4000"/>
          </w:tcPr>
          <w:p>
            <w:r/>
            <w:r>
              <w:rPr>
                <w:sz w:val="18"/>
              </w:rPr>
              <w:t>POST /api/register · /api/login · /api/logout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Cuentas con scrypt (salt:hash)</w:t>
            </w:r>
          </w:p>
        </w:tc>
      </w:tr>
      <w:tr>
        <w:tc>
          <w:tcPr>
            <w:tcW w:type="dxa" w:w="4000"/>
          </w:tcPr>
          <w:p>
            <w:r/>
            <w:r>
              <w:rPr>
                <w:sz w:val="18"/>
              </w:rPr>
              <w:t>GET /api/me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Usuario de la sesión (cookie df_session o Bearer)</w:t>
            </w:r>
          </w:p>
        </w:tc>
      </w:tr>
      <w:tr>
        <w:tc>
          <w:tcPr>
            <w:tcW w:type="dxa" w:w="4000"/>
          </w:tcPr>
          <w:p>
            <w:r/>
            <w:r>
              <w:rPr>
                <w:sz w:val="18"/>
              </w:rPr>
              <w:t>GET /api/packs?query=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Galería con búsqueda FTS5</w:t>
            </w:r>
          </w:p>
        </w:tc>
      </w:tr>
      <w:tr>
        <w:tc>
          <w:tcPr>
            <w:tcW w:type="dxa" w:w="4000"/>
          </w:tcPr>
          <w:p>
            <w:r/>
            <w:r>
              <w:rPr>
                <w:sz w:val="18"/>
              </w:rPr>
              <w:t>POST /api/packs · /api/rating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Publicar un pack y puntuar</w:t>
            </w:r>
          </w:p>
        </w:tc>
      </w:tr>
      <w:tr>
        <w:tc>
          <w:tcPr>
            <w:tcW w:type="dxa" w:w="4000"/>
          </w:tcPr>
          <w:p>
            <w:r/>
            <w:r>
              <w:rPr>
                <w:sz w:val="18"/>
              </w:rPr>
              <w:t>GET /api/testdrive · /api/testdrive/available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Sesiones de Test Drive y disponibilidad de QEMU</w:t>
            </w:r>
          </w:p>
        </w:tc>
      </w:tr>
      <w:tr>
        <w:tc>
          <w:tcPr>
            <w:tcW w:type="dxa" w:w="4000"/>
          </w:tcPr>
          <w:p>
            <w:r/>
            <w:r>
              <w:rPr>
                <w:sz w:val="18"/>
              </w:rPr>
              <w:t>POST /api/testdrive · DELETE /api/testdrive/{id}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Arrancar y parar una máquina</w:t>
            </w:r>
          </w:p>
        </w:tc>
      </w:tr>
      <w:tr>
        <w:tc>
          <w:tcPr>
            <w:tcW w:type="dxa" w:w="4000"/>
          </w:tcPr>
          <w:p>
            <w:r/>
            <w:r>
              <w:rPr>
                <w:sz w:val="18"/>
              </w:rPr>
              <w:t>GET /vnc.html · WS /ws/{id}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noVNC y puente websocket al VNC de QEMU</w:t>
            </w:r>
          </w:p>
        </w:tc>
      </w:tr>
      <w:tr>
        <w:tc>
          <w:tcPr>
            <w:tcW w:type="dxa" w:w="4000"/>
          </w:tcPr>
          <w:p>
            <w:r/>
            <w:r>
              <w:rPr>
                <w:sz w:val="18"/>
              </w:rPr>
              <w:t>GET /api/health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Estado del servicio (lo usa el HEALTHCHECK del contenedor)</w:t>
            </w:r>
          </w:p>
        </w:tc>
      </w:tr>
    </w:tbl>
    <w:p/>
    <w:p>
      <w:r>
        <w:t>Variables: PORT (8080), DF_DB_PATH (por defecto :memory:; en producción, un volumen) y QEMU_BIN. La imagen está en GHCR y la guía de despliegue, con el aviso sobre cookies entre dominios distintos, en docs/DESPLIEGUE.md.</w:t>
      </w:r>
    </w:p>
    <w:p>
      <w:pPr>
        <w:pStyle w:val="Heading1"/>
      </w:pPr>
      <w:r>
        <w:rPr>
          <w:color w:val="1F7A4C"/>
        </w:rPr>
        <w:t>8. Integración continua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</w:tcPr>
          <w:p>
            <w:r/>
            <w:r>
              <w:rPr>
                <w:b/>
                <w:sz w:val="18"/>
              </w:rPr>
              <w:t>Workflow</w:t>
            </w:r>
          </w:p>
        </w:tc>
        <w:tc>
          <w:tcPr>
            <w:tcW w:type="dxa" w:w="2200"/>
          </w:tcPr>
          <w:p>
            <w:r/>
            <w:r>
              <w:rPr>
                <w:b/>
                <w:sz w:val="18"/>
              </w:rPr>
              <w:t>Cuándo</w:t>
            </w:r>
          </w:p>
        </w:tc>
        <w:tc>
          <w:tcPr>
            <w:tcW w:type="dxa" w:w="5600"/>
          </w:tcPr>
          <w:p>
            <w:r/>
            <w:r>
              <w:rPr>
                <w:b/>
                <w:sz w:val="18"/>
              </w:rPr>
              <w:t>Qué valida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ci.yml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push y PR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Núcleo con clippy, backend con tests, UI WASM con Trunk + wasm-opt y la interfaz en un navegador real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deploy.yml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push a main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Build de la UI y publicación en GitHub Pages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release.yml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tags v* o manual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Empaquetado de escritorio en Linux y Windows; Release con tag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server-image.yml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main, tags o manual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Imagen del backend publicada en GHCR</w:t>
            </w:r>
          </w:p>
        </w:tc>
      </w:tr>
    </w:tbl>
    <w:p/>
    <w:p>
      <w:r>
        <w:t>Los tags siguen el esquema vX.Y.Z. Todas las cajas del workspace comparten la misma versión.</w:t>
      </w:r>
    </w:p>
    <w:p>
      <w:pPr>
        <w:pStyle w:val="Heading1"/>
      </w:pPr>
      <w:r>
        <w:rPr>
          <w:color w:val="1F7A4C"/>
        </w:rPr>
        <w:t>9. Desarrollo y pruebas</w:t>
      </w:r>
    </w:p>
    <w:p>
      <w:pPr>
        <w:spacing w:after="0" w:before="120"/>
        <w:ind w:left="200"/>
        <w:shd w:val="clear" w:color="auto" w:fill="F2F5F3"/>
      </w:pPr>
      <w:r>
        <w:rPr>
          <w:rFonts w:ascii="Consolas" w:hAnsi="Consolas"/>
          <w:sz w:val="18"/>
        </w:rPr>
        <w:t>cd rust &amp;&amp; cargo test -p forge-core          # núcleo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>cd rust/server-rs &amp;&amp; cargo test              # backend (8 tests de integración)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>cd rust/web-ui &amp;&amp; trunk serve                # UI con recarga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>python tools/make_icons.py                   # iconos de app y favicon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>python tools/make_manual.py                  # este manual</w:t>
      </w:r>
    </w:p>
    <w:p>
      <w:pPr>
        <w:spacing w:after="0" w:before="0"/>
        <w:ind w:left="200"/>
        <w:shd w:val="clear" w:color="auto" w:fill="F2F5F3"/>
      </w:pPr>
      <w:r>
        <w:rPr>
          <w:rFonts w:ascii="Consolas" w:hAnsi="Consolas"/>
          <w:sz w:val="18"/>
        </w:rPr>
        <w:t xml:space="preserve">        </w:t>
      </w:r>
    </w:p>
    <w:p>
      <w:r>
        <w:t>Para añadir una base nueva: entra en el catálogo del núcleo (forge-core), añade la familia con su gestor de paquetes, su motor y sus valores por defecto, y cubre el caso en los tests. La UI y el CLI la recogen automáticamente porque ambos leen el mismo catálogo.</w:t>
      </w:r>
    </w:p>
    <w:p>
      <w:pPr>
        <w:pStyle w:val="Heading1"/>
      </w:pPr>
      <w:r>
        <w:rPr>
          <w:color w:val="1F7A4C"/>
        </w:rPr>
        <w:t>10. Seguridad</w:t>
      </w:r>
    </w:p>
    <w:p>
      <w:pPr>
        <w:pStyle w:val="ListBullet"/>
      </w:pPr>
      <w:r>
        <w:t>Las contraseñas viajan en claro dentro de las recetas generadas: kickstart, preseed y AutoYaST lo exigen así. Usa una contraseña provisional en cualquier proyecto que vayas a compartir o publicar.</w:t>
      </w:r>
    </w:p>
    <w:p>
      <w:pPr>
        <w:pStyle w:val="ListBullet"/>
      </w:pPr>
      <w:r>
        <w:t>Los repositorios personalizados se firman con GPG real en la receta.</w:t>
      </w:r>
    </w:p>
    <w:p>
      <w:pPr>
        <w:pStyle w:val="ListBullet"/>
      </w:pPr>
      <w:r>
        <w:t>Las salidas OCI pueden incluir SBOM (syft), escaneo de vulnerabilidades (trivy) y firma (cosign).</w:t>
      </w:r>
    </w:p>
    <w:p>
      <w:pPr>
        <w:pStyle w:val="ListBullet"/>
      </w:pPr>
      <w:r>
        <w:t>El backend guarda las contraseñas con scrypt (N=16384, r=8, p=1) y abre la sesión con una cookie HttpOnly.</w:t>
      </w:r>
    </w:p>
    <w:p>
      <w:pPr>
        <w:pStyle w:val="Heading1"/>
      </w:pPr>
      <w:r>
        <w:rPr>
          <w:color w:val="1F7A4C"/>
        </w:rPr>
        <w:t>11. Glosario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00"/>
          </w:tcPr>
          <w:p>
            <w:r/>
            <w:r>
              <w:rPr>
                <w:b/>
                <w:sz w:val="18"/>
              </w:rPr>
              <w:t>Término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8"/>
              </w:rPr>
              <w:t>Receta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Conjunto de ficheros que describen cómo construir la imagen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8"/>
              </w:rPr>
              <w:t>Motor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Herramienta que construye la imagen (KIWI NG, live-build, mkarchiso, kickstart)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8"/>
              </w:rPr>
              <w:t>Plantilla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Punto de partida preconfigurado (escritorio, servidor, JeOS…)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8"/>
              </w:rPr>
              <w:t>Pack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Capa aditiva de paquetes, servicios y ficheros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8"/>
              </w:rPr>
              <w:t>Test Drive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Arranque de la imagen en el navegador mediante QEMU y noVNC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8"/>
              </w:rPr>
              <w:t>Salida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Formato del artefacto: ISO, QCOW2, OCI, WSL…</w:t>
            </w:r>
          </w:p>
        </w:tc>
      </w:tr>
    </w:tbl>
    <w:p/>
    <w:p/>
    <w:p>
      <w:r>
        <w:rPr>
          <w:color w:val="59655E"/>
          <w:sz w:val="18"/>
        </w:rPr>
        <w:t>DistroForge 1.0 · documento generado con tools/make_manual.py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41C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