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바탕체" w:cs="바탕체" w:eastAsia="바탕체" w:hAnsi="바탕체"/>
          <w:b/>
          <w:bCs/>
          <w:sz w:val="24"/>
          <w:szCs w:val="24"/>
        </w:rPr>
        <w:t xml:space="preserve">4. 이슈 및 대응</w:t>
      </w:r>
    </w:p>
    <w:tbl>
      <w:tblPr>
        <w:tblW w:type="dxa" w:w="103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719"/>
        <w:gridCol w:w="4100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바탕체" w:cs="바탕체" w:eastAsia="바탕체" w:hAnsi="바탕체"/>
                <w:b/>
                <w:bCs/>
                <w:sz w:val="24"/>
                <w:szCs w:val="24"/>
              </w:rPr>
              <w:t xml:space="preserve">구 분</w:t>
            </w:r>
          </w:p>
        </w:tc>
        <w:tc>
          <w:tcPr>
            <w:tcW w:type="dxa" w:w="4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바탕체" w:cs="바탕체" w:eastAsia="바탕체" w:hAnsi="바탕체"/>
                <w:b/>
                <w:bCs/>
                <w:sz w:val="24"/>
                <w:szCs w:val="24"/>
              </w:rPr>
              <w:t xml:space="preserve">내 용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바탕체" w:cs="바탕체" w:eastAsia="바탕체" w:hAnsi="바탕체"/>
                <w:b/>
                <w:bCs/>
                <w:sz w:val="24"/>
                <w:szCs w:val="24"/>
              </w:rPr>
              <w:t xml:space="preserve">대 응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OCR 서버</w:t>
            </w:r>
          </w:p>
        </w:tc>
        <w:tc>
          <w:tcPr>
            <w:tcW w:type="dxa" w:w="4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그룹(06:00~06:45)·DX(06:30~06:45)와 공동 사용, 동시 실행 시 대기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DS 실행 시간대 분리, 겹칠 경우 후순위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일 정</w:t>
            </w:r>
          </w:p>
        </w:tc>
        <w:tc>
          <w:tcPr>
            <w:tcW w:type="dxa" w:w="4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샘플 전달·개발팀 착수 지연 시 11월 테스트 착수 불가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10월 내 샘플 전달·착수 협의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보안·계정</w:t>
            </w:r>
          </w:p>
        </w:tc>
        <w:tc>
          <w:tcPr>
            <w:tcW w:type="dxa" w:w="4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방화벽·NASCA 등록, 계정 발급 소요기간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회신과 무관하게 즉시 신청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양 식</w:t>
            </w:r>
          </w:p>
        </w:tc>
        <w:tc>
          <w:tcPr>
            <w:tcW w:type="dxa" w:w="4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DS 양식이 그룹과 다를 경우 추가 개발 필요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샘플 조기 판정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정책·비용</w:t>
            </w:r>
          </w:p>
        </w:tc>
        <w:tc>
          <w:tcPr>
            <w:tcW w:type="dxa" w:w="4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기사 텍스트 외부 AI 전송, 크레딧(회당 300~350)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바탕체" w:cs="바탕체" w:eastAsia="바탕체" w:hAnsi="바탕체"/>
                <w:b w:val="false"/>
                <w:bCs w:val="false"/>
                <w:sz w:val="24"/>
                <w:szCs w:val="24"/>
              </w:rPr>
              <w:t xml:space="preserve">정보보호 정책·비용 부담 주체 사전 확인</w:t>
            </w:r>
          </w:p>
        </w:tc>
      </w:tr>
    </w:tbl>
    <w:sectPr>
      <w:pgSz w:w="11906" w:h="16838" w:orient="portrait"/>
      <w:pgMar w:top="907" w:right="794" w:bottom="907" w:left="79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바탕체" w:cs="바탕체" w:eastAsia="바탕체" w:hAnsi="바탕체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2026-10-27T06:08:33.022Z</dcterms:created>
  <dcterms:modified xsi:type="dcterms:W3CDTF">2026-10-27T06:08:33.031Z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