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090B" w14:textId="77777777" w:rsidR="00CA5AD7" w:rsidRDefault="00CA5AD7" w:rsidP="00CA5AD7">
      <w:pPr>
        <w:pStyle w:val="ChapterTitle"/>
        <w:spacing w:line="240" w:lineRule="auto"/>
      </w:pPr>
      <w:r>
        <w:rPr>
          <w:bCs/>
        </w:rPr>
        <w:t>Metabo</w:t>
      </w:r>
      <w:r>
        <w:t>lism and Pharmacokinetics of Vitamin D in Patients with Cystic Fibrosis</w:t>
      </w:r>
    </w:p>
    <w:p w14:paraId="3A44D937" w14:textId="77777777" w:rsidR="00CA5AD7" w:rsidRPr="00310D8D" w:rsidRDefault="00CA5AD7" w:rsidP="00CA5AD7">
      <w:pPr>
        <w:spacing w:line="240" w:lineRule="auto"/>
        <w:ind w:firstLine="0"/>
        <w:jc w:val="center"/>
        <w:rPr>
          <w:caps/>
        </w:rPr>
      </w:pPr>
    </w:p>
    <w:p w14:paraId="7E4DF43C" w14:textId="77777777" w:rsidR="00CA5AD7" w:rsidRDefault="00CA5AD7" w:rsidP="00CA5AD7">
      <w:pPr>
        <w:spacing w:line="240" w:lineRule="auto"/>
        <w:ind w:firstLine="0"/>
        <w:jc w:val="center"/>
        <w:rPr>
          <w:vertAlign w:val="subscript"/>
          <w:lang w:val="it-IT"/>
        </w:rPr>
      </w:pPr>
      <w:bookmarkStart w:id="0" w:name="_Hlk83840469"/>
      <w:r w:rsidRPr="00870914">
        <w:rPr>
          <w:lang w:val="it-IT"/>
        </w:rPr>
        <w:t>Mackenzie C. Bergagnini-Kolev</w:t>
      </w:r>
      <w:r>
        <w:rPr>
          <w:vertAlign w:val="superscript"/>
          <w:lang w:val="it-IT"/>
        </w:rPr>
        <w:t>1,</w:t>
      </w:r>
      <w:r>
        <w:rPr>
          <w:lang w:val="it-IT"/>
        </w:rPr>
        <w:t xml:space="preserve">*, </w:t>
      </w:r>
      <w:r w:rsidRPr="00BD2BB1">
        <w:rPr>
          <w:lang w:val="it-IT"/>
        </w:rPr>
        <w:t>Simon Hsu</w:t>
      </w:r>
      <w:r>
        <w:rPr>
          <w:vertAlign w:val="superscript"/>
          <w:lang w:val="it-IT"/>
        </w:rPr>
        <w:t>2,3,</w:t>
      </w:r>
      <w:r>
        <w:rPr>
          <w:lang w:val="it-IT"/>
        </w:rPr>
        <w:t>*</w:t>
      </w:r>
      <w:r>
        <w:rPr>
          <w:vertAlign w:val="subscript"/>
          <w:lang w:val="it-IT"/>
        </w:rPr>
        <w:t>,</w:t>
      </w:r>
      <w:r w:rsidRPr="0017479B">
        <w:rPr>
          <w:lang w:val="it-IT"/>
        </w:rPr>
        <w:t xml:space="preserve"> Moira </w:t>
      </w:r>
      <w:r>
        <w:rPr>
          <w:lang w:val="it-IT"/>
        </w:rPr>
        <w:t xml:space="preserve">L. </w:t>
      </w:r>
      <w:r w:rsidRPr="0017479B">
        <w:rPr>
          <w:lang w:val="it-IT"/>
        </w:rPr>
        <w:t>Aitken</w:t>
      </w:r>
      <w:r>
        <w:rPr>
          <w:vertAlign w:val="superscript"/>
          <w:lang w:val="it-IT"/>
        </w:rPr>
        <w:t>4</w:t>
      </w:r>
      <w:r w:rsidRPr="0017479B">
        <w:rPr>
          <w:lang w:val="it-IT"/>
        </w:rPr>
        <w:t>, Chris</w:t>
      </w:r>
      <w:r>
        <w:rPr>
          <w:lang w:val="it-IT"/>
        </w:rPr>
        <w:t>topher</w:t>
      </w:r>
      <w:r w:rsidRPr="0017479B">
        <w:rPr>
          <w:lang w:val="it-IT"/>
        </w:rPr>
        <w:t xml:space="preserve"> </w:t>
      </w:r>
      <w:r>
        <w:rPr>
          <w:lang w:val="it-IT"/>
        </w:rPr>
        <w:t xml:space="preserve">H. </w:t>
      </w:r>
      <w:r w:rsidRPr="0017479B">
        <w:rPr>
          <w:lang w:val="it-IT"/>
        </w:rPr>
        <w:t>Goss</w:t>
      </w:r>
      <w:r>
        <w:rPr>
          <w:vertAlign w:val="superscript"/>
          <w:lang w:val="it-IT"/>
        </w:rPr>
        <w:t>5,6</w:t>
      </w:r>
      <w:r w:rsidRPr="0017479B">
        <w:rPr>
          <w:lang w:val="it-IT"/>
        </w:rPr>
        <w:t>, And</w:t>
      </w:r>
      <w:r>
        <w:rPr>
          <w:lang w:val="it-IT"/>
        </w:rPr>
        <w:t>rew</w:t>
      </w:r>
      <w:r w:rsidRPr="0017479B">
        <w:rPr>
          <w:lang w:val="it-IT"/>
        </w:rPr>
        <w:t xml:space="preserve"> </w:t>
      </w:r>
      <w:r>
        <w:rPr>
          <w:lang w:val="it-IT"/>
        </w:rPr>
        <w:t xml:space="preserve">N. </w:t>
      </w:r>
      <w:r w:rsidRPr="0017479B">
        <w:rPr>
          <w:lang w:val="it-IT"/>
        </w:rPr>
        <w:t>Hoofnagle</w:t>
      </w:r>
      <w:r>
        <w:rPr>
          <w:vertAlign w:val="superscript"/>
          <w:lang w:val="it-IT"/>
        </w:rPr>
        <w:t>2,7</w:t>
      </w:r>
      <w:r w:rsidRPr="0017479B">
        <w:rPr>
          <w:lang w:val="it-IT"/>
        </w:rPr>
        <w:t xml:space="preserve">, Leila </w:t>
      </w:r>
      <w:r>
        <w:rPr>
          <w:lang w:val="it-IT"/>
        </w:rPr>
        <w:t xml:space="preserve">R. </w:t>
      </w:r>
      <w:r w:rsidRPr="0017479B">
        <w:rPr>
          <w:lang w:val="it-IT"/>
        </w:rPr>
        <w:t>Zelnick</w:t>
      </w:r>
      <w:r>
        <w:rPr>
          <w:vertAlign w:val="superscript"/>
          <w:lang w:val="it-IT"/>
        </w:rPr>
        <w:t>2,3</w:t>
      </w:r>
      <w:r w:rsidRPr="0017479B">
        <w:rPr>
          <w:lang w:val="it-IT"/>
        </w:rPr>
        <w:t xml:space="preserve">, </w:t>
      </w:r>
      <w:r w:rsidRPr="00197BD9">
        <w:rPr>
          <w:lang w:val="it-IT"/>
        </w:rPr>
        <w:t>Dawn Lum</w:t>
      </w:r>
      <w:r>
        <w:rPr>
          <w:vertAlign w:val="superscript"/>
          <w:lang w:val="it-IT"/>
        </w:rPr>
        <w:t>2,3</w:t>
      </w:r>
      <w:r>
        <w:rPr>
          <w:lang w:val="it-IT"/>
        </w:rPr>
        <w:t xml:space="preserve">, </w:t>
      </w:r>
      <w:r w:rsidRPr="00104B6D">
        <w:rPr>
          <w:lang w:val="it-IT"/>
        </w:rPr>
        <w:t>Cora M. Best</w:t>
      </w:r>
      <w:r>
        <w:rPr>
          <w:vertAlign w:val="superscript"/>
          <w:lang w:val="it-IT"/>
        </w:rPr>
        <w:t>2,7</w:t>
      </w:r>
      <w:r>
        <w:rPr>
          <w:lang w:val="it-IT"/>
        </w:rPr>
        <w:t xml:space="preserve">, </w:t>
      </w:r>
      <w:r w:rsidRPr="0017479B">
        <w:rPr>
          <w:lang w:val="it-IT"/>
        </w:rPr>
        <w:t>Ken</w:t>
      </w:r>
      <w:r>
        <w:rPr>
          <w:lang w:val="it-IT"/>
        </w:rPr>
        <w:t>neth E.</w:t>
      </w:r>
      <w:r w:rsidRPr="0017479B">
        <w:rPr>
          <w:lang w:val="it-IT"/>
        </w:rPr>
        <w:t xml:space="preserve"> Thummel</w:t>
      </w:r>
      <w:r>
        <w:rPr>
          <w:vertAlign w:val="superscript"/>
          <w:lang w:val="it-IT"/>
        </w:rPr>
        <w:t>1</w:t>
      </w:r>
      <w:r w:rsidRPr="0017479B">
        <w:rPr>
          <w:lang w:val="it-IT"/>
        </w:rPr>
        <w:t>,</w:t>
      </w:r>
      <w:r w:rsidRPr="00DA486C">
        <w:rPr>
          <w:lang w:val="it-IT"/>
        </w:rPr>
        <w:t xml:space="preserve"> </w:t>
      </w:r>
      <w:r w:rsidRPr="0017479B">
        <w:rPr>
          <w:lang w:val="it-IT"/>
        </w:rPr>
        <w:t xml:space="preserve">Bryan </w:t>
      </w:r>
      <w:r>
        <w:rPr>
          <w:lang w:val="it-IT"/>
        </w:rPr>
        <w:t xml:space="preserve">R. </w:t>
      </w:r>
      <w:r w:rsidRPr="0017479B">
        <w:rPr>
          <w:lang w:val="it-IT"/>
        </w:rPr>
        <w:t>Kestenbaum</w:t>
      </w:r>
      <w:r>
        <w:rPr>
          <w:vertAlign w:val="superscript"/>
          <w:lang w:val="it-IT"/>
        </w:rPr>
        <w:t>2,3</w:t>
      </w:r>
      <w:r w:rsidRPr="0017479B">
        <w:rPr>
          <w:lang w:val="it-IT"/>
        </w:rPr>
        <w:t>,</w:t>
      </w:r>
      <w:r>
        <w:rPr>
          <w:lang w:val="it-IT"/>
        </w:rPr>
        <w:t xml:space="preserve"> Ian H. de Boer</w:t>
      </w:r>
      <w:r>
        <w:rPr>
          <w:vertAlign w:val="superscript"/>
          <w:lang w:val="it-IT"/>
        </w:rPr>
        <w:t>2,3</w:t>
      </w:r>
      <w:r w:rsidRPr="0017479B">
        <w:rPr>
          <w:lang w:val="it-IT"/>
        </w:rPr>
        <w:t>,</w:t>
      </w:r>
      <w:r w:rsidRPr="00567FD3">
        <w:rPr>
          <w:lang w:val="it-IT"/>
        </w:rPr>
        <w:t xml:space="preserve"> </w:t>
      </w:r>
      <w:r>
        <w:rPr>
          <w:lang w:val="it-IT"/>
        </w:rPr>
        <w:t>Yvonne S. Lin</w:t>
      </w:r>
      <w:r>
        <w:rPr>
          <w:vertAlign w:val="superscript"/>
          <w:lang w:val="it-IT"/>
        </w:rPr>
        <w:t>1</w:t>
      </w:r>
    </w:p>
    <w:p w14:paraId="0F9F9929" w14:textId="77777777" w:rsidR="00CA5AD7" w:rsidRPr="000A1EC9" w:rsidRDefault="00CA5AD7" w:rsidP="00CA5AD7">
      <w:pPr>
        <w:spacing w:line="240" w:lineRule="auto"/>
        <w:ind w:firstLine="0"/>
        <w:jc w:val="center"/>
        <w:rPr>
          <w:lang w:val="it-IT"/>
        </w:rPr>
      </w:pPr>
    </w:p>
    <w:bookmarkEnd w:id="0"/>
    <w:p w14:paraId="78C37B01" w14:textId="77777777" w:rsidR="00CA5AD7" w:rsidRPr="00870914" w:rsidRDefault="00CA5AD7" w:rsidP="00CA5AD7">
      <w:pPr>
        <w:spacing w:line="240" w:lineRule="auto"/>
        <w:ind w:left="270" w:hanging="270"/>
      </w:pPr>
      <w:r>
        <w:rPr>
          <w:vertAlign w:val="superscript"/>
        </w:rPr>
        <w:t>1</w:t>
      </w:r>
      <w:r>
        <w:rPr>
          <w:vertAlign w:val="superscript"/>
        </w:rPr>
        <w:tab/>
      </w:r>
      <w:r w:rsidRPr="00870914">
        <w:t>Department of P</w:t>
      </w:r>
      <w:r>
        <w:t>harmaceutics, School of Pharmacy, University of Washington, Seattle, WA 98195, USA</w:t>
      </w:r>
    </w:p>
    <w:p w14:paraId="7E52CFA5" w14:textId="77777777" w:rsidR="00CA5AD7" w:rsidRDefault="00CA5AD7" w:rsidP="00CA5AD7">
      <w:pPr>
        <w:spacing w:line="240" w:lineRule="auto"/>
        <w:ind w:left="270" w:hanging="270"/>
      </w:pPr>
      <w:r>
        <w:rPr>
          <w:vertAlign w:val="superscript"/>
        </w:rPr>
        <w:t>2</w:t>
      </w:r>
      <w:r>
        <w:t xml:space="preserve"> </w:t>
      </w:r>
      <w:r>
        <w:tab/>
      </w:r>
      <w:r w:rsidRPr="00E52F5E">
        <w:rPr>
          <w:color w:val="212121"/>
          <w:shd w:val="clear" w:color="auto" w:fill="FFFFFF"/>
        </w:rPr>
        <w:t xml:space="preserve">Kidney Research Institute, University of Washington, </w:t>
      </w:r>
      <w:r w:rsidRPr="00545127">
        <w:rPr>
          <w:color w:val="212121"/>
          <w:shd w:val="clear" w:color="auto" w:fill="FFFFFF"/>
        </w:rPr>
        <w:t>Seattle, WA</w:t>
      </w:r>
      <w:r>
        <w:rPr>
          <w:color w:val="212121"/>
          <w:shd w:val="clear" w:color="auto" w:fill="FFFFFF"/>
        </w:rPr>
        <w:t xml:space="preserve"> 98104, USA</w:t>
      </w:r>
    </w:p>
    <w:p w14:paraId="49F4D790" w14:textId="77777777" w:rsidR="00CA5AD7" w:rsidRPr="00E52F5E" w:rsidRDefault="00CA5AD7" w:rsidP="00CA5AD7">
      <w:pPr>
        <w:spacing w:line="240" w:lineRule="auto"/>
        <w:ind w:left="270" w:hanging="270"/>
      </w:pPr>
      <w:r>
        <w:rPr>
          <w:vertAlign w:val="superscript"/>
        </w:rPr>
        <w:t>3</w:t>
      </w:r>
      <w:r>
        <w:tab/>
      </w:r>
      <w:r w:rsidRPr="00E52F5E">
        <w:rPr>
          <w:color w:val="212121"/>
          <w:shd w:val="clear" w:color="auto" w:fill="FFFFFF"/>
        </w:rPr>
        <w:t xml:space="preserve">Division of Nephrology, Department of Medicine, </w:t>
      </w:r>
      <w:r>
        <w:t xml:space="preserve">School of Medicine, </w:t>
      </w:r>
      <w:r w:rsidRPr="00E52F5E">
        <w:rPr>
          <w:color w:val="212121"/>
          <w:shd w:val="clear" w:color="auto" w:fill="FFFFFF"/>
        </w:rPr>
        <w:t>University of Washington, Seattle, WA 98195, USA</w:t>
      </w:r>
    </w:p>
    <w:p w14:paraId="50FE9B6F" w14:textId="77777777" w:rsidR="00CA5AD7" w:rsidRPr="00E52F5E" w:rsidRDefault="00CA5AD7" w:rsidP="00CA5AD7">
      <w:pPr>
        <w:spacing w:line="240" w:lineRule="auto"/>
        <w:ind w:left="270" w:hanging="270"/>
      </w:pPr>
      <w:r>
        <w:rPr>
          <w:vertAlign w:val="superscript"/>
        </w:rPr>
        <w:t>4</w:t>
      </w:r>
      <w:r w:rsidRPr="00E52F5E">
        <w:tab/>
      </w:r>
      <w:r w:rsidRPr="00ED2AD7">
        <w:t xml:space="preserve">Division of Pulmonary, Critical Care and Sleep Medicine, </w:t>
      </w:r>
      <w:r>
        <w:t xml:space="preserve">School of Medicine, </w:t>
      </w:r>
      <w:r w:rsidRPr="00ED2AD7">
        <w:t>University of Washington, Seattle, W</w:t>
      </w:r>
      <w:r>
        <w:t>A 98195, USA</w:t>
      </w:r>
    </w:p>
    <w:p w14:paraId="529DCF49" w14:textId="77777777" w:rsidR="00CA5AD7" w:rsidRPr="00E52F5E" w:rsidRDefault="00CA5AD7" w:rsidP="00CA5AD7">
      <w:pPr>
        <w:spacing w:line="240" w:lineRule="auto"/>
        <w:ind w:left="270" w:hanging="270"/>
        <w:rPr>
          <w:color w:val="212121"/>
          <w:shd w:val="clear" w:color="auto" w:fill="FFFFFF"/>
        </w:rPr>
      </w:pPr>
      <w:r>
        <w:rPr>
          <w:color w:val="212121"/>
          <w:shd w:val="clear" w:color="auto" w:fill="FFFFFF"/>
          <w:vertAlign w:val="superscript"/>
        </w:rPr>
        <w:t>5</w:t>
      </w:r>
      <w:r w:rsidRPr="00E52F5E">
        <w:rPr>
          <w:color w:val="212121"/>
          <w:shd w:val="clear" w:color="auto" w:fill="FFFFFF"/>
        </w:rPr>
        <w:tab/>
      </w:r>
      <w:r w:rsidRPr="00E52F5E">
        <w:t xml:space="preserve">Department of Pediatrics, </w:t>
      </w:r>
      <w:r>
        <w:t xml:space="preserve">School of Medicine, </w:t>
      </w:r>
      <w:r w:rsidRPr="00E52F5E">
        <w:t>University of Washington</w:t>
      </w:r>
      <w:r>
        <w:t>,</w:t>
      </w:r>
      <w:r w:rsidRPr="00E52F5E">
        <w:t xml:space="preserve"> Seattle, WA 98195, USA</w:t>
      </w:r>
    </w:p>
    <w:p w14:paraId="0B25F4D2" w14:textId="77777777" w:rsidR="00CA5AD7" w:rsidRPr="00310D8D" w:rsidRDefault="00CA5AD7" w:rsidP="00CA5AD7">
      <w:pPr>
        <w:spacing w:line="240" w:lineRule="auto"/>
        <w:ind w:left="270" w:hanging="270"/>
        <w:rPr>
          <w:color w:val="212121"/>
          <w:shd w:val="clear" w:color="auto" w:fill="FFFFFF"/>
        </w:rPr>
      </w:pPr>
      <w:r>
        <w:rPr>
          <w:color w:val="5B616B"/>
          <w:shd w:val="clear" w:color="auto" w:fill="FFFFFF"/>
          <w:vertAlign w:val="superscript"/>
        </w:rPr>
        <w:t>6</w:t>
      </w:r>
      <w:r w:rsidRPr="00E52F5E">
        <w:rPr>
          <w:color w:val="5B616B"/>
          <w:shd w:val="clear" w:color="auto" w:fill="FFFFFF"/>
          <w:vertAlign w:val="superscript"/>
        </w:rPr>
        <w:tab/>
      </w:r>
      <w:r>
        <w:t xml:space="preserve">Department of Medicine, School of Medicine, University of Washington, Seattle, WA 98195, </w:t>
      </w:r>
      <w:r w:rsidRPr="00E52F5E">
        <w:t>USA</w:t>
      </w:r>
    </w:p>
    <w:p w14:paraId="4A2DD2D6" w14:textId="77777777" w:rsidR="00CA5AD7" w:rsidRPr="00E52F5E" w:rsidRDefault="00CA5AD7" w:rsidP="00CA5AD7">
      <w:pPr>
        <w:spacing w:line="240" w:lineRule="auto"/>
        <w:ind w:left="270" w:hanging="270"/>
        <w:rPr>
          <w:color w:val="212121"/>
          <w:shd w:val="clear" w:color="auto" w:fill="FFFFFF"/>
        </w:rPr>
      </w:pPr>
      <w:r>
        <w:rPr>
          <w:color w:val="5B616B"/>
          <w:shd w:val="clear" w:color="auto" w:fill="FFFFFF"/>
          <w:vertAlign w:val="superscript"/>
        </w:rPr>
        <w:t>7</w:t>
      </w:r>
      <w:r w:rsidRPr="00E52F5E">
        <w:rPr>
          <w:color w:val="5B616B"/>
          <w:shd w:val="clear" w:color="auto" w:fill="FFFFFF"/>
          <w:vertAlign w:val="superscript"/>
        </w:rPr>
        <w:tab/>
      </w:r>
      <w:r w:rsidRPr="00E52F5E">
        <w:rPr>
          <w:color w:val="212121"/>
          <w:shd w:val="clear" w:color="auto" w:fill="FFFFFF"/>
        </w:rPr>
        <w:t>Department of Laboratory Medicine</w:t>
      </w:r>
      <w:r>
        <w:rPr>
          <w:color w:val="212121"/>
          <w:shd w:val="clear" w:color="auto" w:fill="FFFFFF"/>
        </w:rPr>
        <w:t xml:space="preserve"> and Pathology</w:t>
      </w:r>
      <w:r w:rsidRPr="00E52F5E">
        <w:rPr>
          <w:color w:val="212121"/>
          <w:shd w:val="clear" w:color="auto" w:fill="FFFFFF"/>
        </w:rPr>
        <w:t xml:space="preserve">, </w:t>
      </w:r>
      <w:r>
        <w:t xml:space="preserve">School of Medicine, </w:t>
      </w:r>
      <w:r w:rsidRPr="00E52F5E">
        <w:rPr>
          <w:color w:val="212121"/>
          <w:shd w:val="clear" w:color="auto" w:fill="FFFFFF"/>
        </w:rPr>
        <w:t>University of Washington, Seattle</w:t>
      </w:r>
      <w:r>
        <w:rPr>
          <w:color w:val="212121"/>
          <w:shd w:val="clear" w:color="auto" w:fill="FFFFFF"/>
        </w:rPr>
        <w:t>, WA 98195, USA</w:t>
      </w:r>
    </w:p>
    <w:p w14:paraId="5AFE3E92" w14:textId="77777777" w:rsidR="00CA5AD7" w:rsidRDefault="00CA5AD7" w:rsidP="00CA5AD7">
      <w:pPr>
        <w:spacing w:line="240" w:lineRule="auto"/>
        <w:ind w:left="270" w:hanging="270"/>
        <w:rPr>
          <w:color w:val="212121"/>
          <w:shd w:val="clear" w:color="auto" w:fill="FFFFFF"/>
        </w:rPr>
      </w:pPr>
      <w:r>
        <w:rPr>
          <w:color w:val="212121"/>
          <w:shd w:val="clear" w:color="auto" w:fill="FFFFFF"/>
        </w:rPr>
        <w:t>*</w:t>
      </w:r>
      <w:r>
        <w:rPr>
          <w:color w:val="212121"/>
          <w:shd w:val="clear" w:color="auto" w:fill="FFFFFF"/>
          <w:vertAlign w:val="superscript"/>
        </w:rPr>
        <w:tab/>
      </w:r>
      <w:r>
        <w:rPr>
          <w:color w:val="212121"/>
          <w:shd w:val="clear" w:color="auto" w:fill="FFFFFF"/>
        </w:rPr>
        <w:t>These authors contributed equally and share first authorship.</w:t>
      </w:r>
    </w:p>
    <w:p w14:paraId="2346604A" w14:textId="77777777" w:rsidR="00A062CA" w:rsidRPr="004B7896" w:rsidRDefault="00A062CA" w:rsidP="004B7896">
      <w:pPr>
        <w:jc w:val="center"/>
        <w:rPr>
          <w:b/>
          <w:bCs/>
        </w:rPr>
      </w:pPr>
    </w:p>
    <w:p w14:paraId="4E3D7BDF" w14:textId="14C13027" w:rsidR="001F1934" w:rsidRPr="004B7896" w:rsidRDefault="004B7896" w:rsidP="004B7896">
      <w:pPr>
        <w:jc w:val="center"/>
        <w:rPr>
          <w:b/>
          <w:bCs/>
        </w:rPr>
      </w:pPr>
      <w:r w:rsidRPr="004B7896">
        <w:rPr>
          <w:b/>
          <w:bCs/>
        </w:rPr>
        <w:t xml:space="preserve">Supplemental </w:t>
      </w:r>
      <w:r w:rsidR="00663DA3" w:rsidRPr="004B7896">
        <w:rPr>
          <w:b/>
          <w:bCs/>
        </w:rPr>
        <w:t>Material and Methods</w:t>
      </w:r>
    </w:p>
    <w:p w14:paraId="34765644" w14:textId="77777777" w:rsidR="00384BF1" w:rsidRPr="004B7896" w:rsidRDefault="00384BF1" w:rsidP="004B7896">
      <w:pPr>
        <w:ind w:firstLine="0"/>
        <w:rPr>
          <w:b/>
          <w:bCs/>
        </w:rPr>
      </w:pPr>
      <w:r w:rsidRPr="004B7896">
        <w:rPr>
          <w:b/>
          <w:bCs/>
        </w:rPr>
        <w:t>Chemicals and materials</w:t>
      </w:r>
    </w:p>
    <w:p w14:paraId="3AD83D14" w14:textId="77777777" w:rsidR="00384BF1" w:rsidRPr="00E500D6" w:rsidRDefault="00384BF1" w:rsidP="00384BF1">
      <w:pPr>
        <w:widowControl w:val="0"/>
      </w:pPr>
      <w:r w:rsidRPr="00E500D6">
        <w:t>25(OH)D</w:t>
      </w:r>
      <w:r w:rsidRPr="00E500D6">
        <w:rPr>
          <w:vertAlign w:val="subscript"/>
        </w:rPr>
        <w:t>3</w:t>
      </w:r>
      <w:r w:rsidRPr="00E500D6">
        <w:t>-S, 25(OH)D</w:t>
      </w:r>
      <w:r w:rsidRPr="00E500D6">
        <w:rPr>
          <w:vertAlign w:val="subscript"/>
        </w:rPr>
        <w:t>3</w:t>
      </w:r>
      <w:r w:rsidRPr="00E500D6">
        <w:t xml:space="preserve">-G and </w:t>
      </w:r>
      <w:r w:rsidRPr="00E500D6">
        <w:rPr>
          <w:i/>
          <w:iCs/>
        </w:rPr>
        <w:t>d</w:t>
      </w:r>
      <w:r w:rsidRPr="00E500D6">
        <w:rPr>
          <w:i/>
          <w:iCs/>
          <w:vertAlign w:val="subscript"/>
        </w:rPr>
        <w:t>6</w:t>
      </w:r>
      <w:r w:rsidRPr="00E500D6">
        <w:t>-25(OH)D</w:t>
      </w:r>
      <w:r w:rsidRPr="00E500D6">
        <w:rPr>
          <w:vertAlign w:val="subscript"/>
        </w:rPr>
        <w:t>3</w:t>
      </w:r>
      <w:r w:rsidRPr="00E500D6">
        <w:t xml:space="preserve"> were purchased from Toronto Research Chemicals (North York, Ontario, Canada). (</w:t>
      </w:r>
      <w:proofErr w:type="spellStart"/>
      <w:r w:rsidRPr="00E500D6">
        <w:t>Diacetoxyiodo</w:t>
      </w:r>
      <w:proofErr w:type="spellEnd"/>
      <w:r w:rsidRPr="00E500D6">
        <w:t xml:space="preserve">)benzene, 3'-phosphoadenosine-5'-phosphosulfate (PAPS), uridine 5′-diphosphoglucuronic acid trisodium salt (UDPGA), </w:t>
      </w:r>
      <w:proofErr w:type="spellStart"/>
      <w:r w:rsidRPr="00E500D6">
        <w:t>alamethacin</w:t>
      </w:r>
      <w:proofErr w:type="spellEnd"/>
      <w:r w:rsidRPr="00E500D6">
        <w:t>, 2-amino-2-(hydroxymethyl)-1,3-propanediol</w:t>
      </w:r>
      <w:r w:rsidRPr="00E500D6" w:rsidDel="0000312F">
        <w:t xml:space="preserve"> </w:t>
      </w:r>
      <w:r w:rsidRPr="00E500D6">
        <w:t xml:space="preserve">hydrochloride (Tris HCl), and bovine serum albumin (BSA) were purchased from Sigma-Aldrich Corp. (St. Louis, MO). 4-(4'-dimethylaminophenyl)-1,2,4-triazolidine-3,5-dione (DAPTAD precursor) was purchased from Santa Cruz Biotechnology, Inc. (Dallas, TX). HPLC grade acetonitrile, ethyl acetate, sodium acetate, ammonium hydroxide (28% w/w), methanol, methyl tert-butyl ether (MTBE), heptane, isopropanol, hexanes, formic acid, acetic acid, dichloromethane, and magnesium chloride were </w:t>
      </w:r>
      <w:r w:rsidRPr="00E500D6">
        <w:lastRenderedPageBreak/>
        <w:t>purchased from Fisher Scientific (Pittsburgh, PA). Vitamin D free serum (</w:t>
      </w:r>
      <w:proofErr w:type="spellStart"/>
      <w:r w:rsidRPr="00E500D6">
        <w:t>Seratrol</w:t>
      </w:r>
      <w:proofErr w:type="spellEnd"/>
      <w:r w:rsidRPr="00E500D6">
        <w:t xml:space="preserve">™) was purchased from Golden West Biologicals, Inc. (Temecula, CA). Human liver microsomes and human liver cytosol were generated at the University of Washington. </w:t>
      </w:r>
    </w:p>
    <w:p w14:paraId="1EEC6C8A" w14:textId="77777777" w:rsidR="004B7896" w:rsidRDefault="004B7896" w:rsidP="004B7896">
      <w:pPr>
        <w:pStyle w:val="Section"/>
        <w:numPr>
          <w:ilvl w:val="0"/>
          <w:numId w:val="0"/>
        </w:numPr>
        <w:ind w:left="1152" w:hanging="1152"/>
        <w:jc w:val="both"/>
      </w:pPr>
    </w:p>
    <w:p w14:paraId="4F66D43E" w14:textId="7F1D37A3" w:rsidR="00384BF1" w:rsidRPr="00E500D6" w:rsidRDefault="00384BF1" w:rsidP="004B7896">
      <w:pPr>
        <w:pStyle w:val="Section"/>
        <w:numPr>
          <w:ilvl w:val="0"/>
          <w:numId w:val="0"/>
        </w:numPr>
        <w:ind w:left="1152" w:hanging="1152"/>
        <w:jc w:val="both"/>
      </w:pPr>
      <w:r w:rsidRPr="00E500D6">
        <w:t>Quantification of vitamin D metabolites</w:t>
      </w:r>
    </w:p>
    <w:p w14:paraId="36E93C38" w14:textId="77777777" w:rsidR="00384BF1" w:rsidRPr="00E500D6" w:rsidRDefault="00384BF1" w:rsidP="00384BF1">
      <w:pPr>
        <w:widowControl w:val="0"/>
      </w:pPr>
      <w:r w:rsidRPr="00E500D6">
        <w:t>Vitamin D metabolites (i.e., 25(OH)D</w:t>
      </w:r>
      <w:r w:rsidRPr="00E500D6">
        <w:rPr>
          <w:vertAlign w:val="subscript"/>
        </w:rPr>
        <w:t>3</w:t>
      </w:r>
      <w:r w:rsidRPr="00E500D6">
        <w:t>, 1α,25(OH)</w:t>
      </w:r>
      <w:r w:rsidRPr="00E500D6">
        <w:rPr>
          <w:vertAlign w:val="subscript"/>
        </w:rPr>
        <w:t>2</w:t>
      </w:r>
      <w:r w:rsidRPr="00E500D6">
        <w:t>D</w:t>
      </w:r>
      <w:r w:rsidRPr="00E500D6">
        <w:rPr>
          <w:vertAlign w:val="subscript"/>
        </w:rPr>
        <w:t>3</w:t>
      </w:r>
      <w:r w:rsidRPr="00E500D6">
        <w:t>, 24,25(OH)</w:t>
      </w:r>
      <w:r w:rsidRPr="00E500D6">
        <w:rPr>
          <w:vertAlign w:val="subscript"/>
        </w:rPr>
        <w:t>2</w:t>
      </w:r>
      <w:r w:rsidRPr="00E500D6">
        <w:t>D</w:t>
      </w:r>
      <w:r w:rsidRPr="00E500D6">
        <w:rPr>
          <w:vertAlign w:val="subscript"/>
        </w:rPr>
        <w:t>3</w:t>
      </w:r>
      <w:r w:rsidRPr="00E500D6">
        <w:t>, 25(OH)D</w:t>
      </w:r>
      <w:r w:rsidRPr="00E500D6">
        <w:rPr>
          <w:vertAlign w:val="subscript"/>
        </w:rPr>
        <w:t>2</w:t>
      </w:r>
      <w:r w:rsidRPr="00E500D6">
        <w:t>, and 1α,25(OH)</w:t>
      </w:r>
      <w:r w:rsidRPr="00E500D6">
        <w:rPr>
          <w:vertAlign w:val="subscript"/>
        </w:rPr>
        <w:t>2</w:t>
      </w:r>
      <w:r w:rsidRPr="00E500D6">
        <w:t>D</w:t>
      </w:r>
      <w:r w:rsidRPr="00E500D6">
        <w:rPr>
          <w:vertAlign w:val="subscript"/>
        </w:rPr>
        <w:t>2</w:t>
      </w:r>
      <w:r w:rsidRPr="00E500D6">
        <w:t xml:space="preserve">) and circulating levels of fibroblast growth factor 23 (FGF), parathyroid hormone (PTH), albumin, and VDBP were measured in serum samples by liquid chromatography with tandem mass spectrometry (LC-MS/MS) by the Department of Laboratory Medicine at the University of Washington. </w:t>
      </w:r>
      <w:r w:rsidRPr="00E500D6">
        <w:rPr>
          <w:i/>
          <w:iCs/>
        </w:rPr>
        <w:t>VDBP</w:t>
      </w:r>
      <w:r w:rsidRPr="00E500D6">
        <w:t xml:space="preserve"> haplotype was determined from DNA samples by the Department of Laboratory Medicine at the University of Washington.</w:t>
      </w:r>
    </w:p>
    <w:p w14:paraId="2CB80730" w14:textId="13615D93" w:rsidR="00384BF1" w:rsidRPr="00E500D6" w:rsidRDefault="00E832AF" w:rsidP="00F901BE">
      <w:r>
        <w:t>A</w:t>
      </w:r>
      <w:r w:rsidR="00384BF1" w:rsidRPr="00E500D6">
        <w:t xml:space="preserve"> 4β,25(OH)</w:t>
      </w:r>
      <w:r w:rsidR="00384BF1" w:rsidRPr="00E500D6">
        <w:rPr>
          <w:vertAlign w:val="subscript"/>
        </w:rPr>
        <w:t>2</w:t>
      </w:r>
      <w:r w:rsidR="00384BF1" w:rsidRPr="00E500D6">
        <w:t>D</w:t>
      </w:r>
      <w:r w:rsidR="00384BF1" w:rsidRPr="00E500D6">
        <w:rPr>
          <w:vertAlign w:val="subscript"/>
        </w:rPr>
        <w:t>3</w:t>
      </w:r>
      <w:r w:rsidR="00384BF1" w:rsidRPr="00E500D6">
        <w:t xml:space="preserve"> calibration curve was prepared in BSA. After thawing, 500 µL of serum was aliquoted and an internal standard solution (20 µL of 60 </w:t>
      </w:r>
      <w:proofErr w:type="spellStart"/>
      <w:r w:rsidR="00384BF1" w:rsidRPr="00E500D6">
        <w:t>pg</w:t>
      </w:r>
      <w:proofErr w:type="spellEnd"/>
      <w:r w:rsidR="00384BF1" w:rsidRPr="00E500D6">
        <w:t xml:space="preserve">/mL of </w:t>
      </w:r>
      <w:r w:rsidR="00384BF1" w:rsidRPr="00E500D6">
        <w:rPr>
          <w:i/>
          <w:iCs/>
        </w:rPr>
        <w:t>d</w:t>
      </w:r>
      <w:r w:rsidR="00384BF1" w:rsidRPr="00E500D6">
        <w:rPr>
          <w:i/>
          <w:iCs/>
          <w:vertAlign w:val="subscript"/>
        </w:rPr>
        <w:t>6</w:t>
      </w:r>
      <w:r w:rsidR="00384BF1" w:rsidRPr="00E500D6">
        <w:t>-1α,25(OH)</w:t>
      </w:r>
      <w:r w:rsidR="00384BF1" w:rsidRPr="00E500D6">
        <w:rPr>
          <w:vertAlign w:val="subscript"/>
        </w:rPr>
        <w:t>2</w:t>
      </w:r>
      <w:r w:rsidR="00384BF1" w:rsidRPr="00E500D6">
        <w:t>D</w:t>
      </w:r>
      <w:r w:rsidR="00384BF1" w:rsidRPr="00E500D6">
        <w:rPr>
          <w:vertAlign w:val="subscript"/>
        </w:rPr>
        <w:t>3</w:t>
      </w:r>
      <w:r w:rsidR="00384BF1" w:rsidRPr="00E500D6">
        <w:t xml:space="preserve">) was added to each sample. Samples were vortexed, allowed to rest at room temperature for 25 minutes to allow for equilibration of the internal standard and centrifuged at 13,362 </w:t>
      </w:r>
      <w:r w:rsidR="00384BF1" w:rsidRPr="00E500D6">
        <w:rPr>
          <w:i/>
        </w:rPr>
        <w:t>g</w:t>
      </w:r>
      <w:r w:rsidR="00384BF1" w:rsidRPr="00E500D6">
        <w:t xml:space="preserve"> for 10 min at 4°C following the addition of 1 mL of acetonitrile to precipitate soluble proteins. The supernatant was transferred to </w:t>
      </w:r>
      <w:proofErr w:type="spellStart"/>
      <w:r w:rsidR="00384BF1" w:rsidRPr="00E500D6">
        <w:t>silanized</w:t>
      </w:r>
      <w:proofErr w:type="spellEnd"/>
      <w:r w:rsidR="00384BF1" w:rsidRPr="00E500D6">
        <w:t xml:space="preserve"> glass tubes. After the addition of 1.5 mL of 0.1 M phosphate buffer (pH 10.5), analytes were extracted using two solid phase extraction (SPE) steps using Agilent (Santa Clara, CA) Bond </w:t>
      </w:r>
      <w:proofErr w:type="spellStart"/>
      <w:r w:rsidR="00384BF1" w:rsidRPr="00E500D6">
        <w:t>Elut</w:t>
      </w:r>
      <w:proofErr w:type="spellEnd"/>
      <w:r w:rsidR="00384BF1" w:rsidRPr="00E500D6">
        <w:t xml:space="preserve"> C18 OH SPE cartridges (500 mg, 3 mL) and Agilent Bond </w:t>
      </w:r>
      <w:proofErr w:type="spellStart"/>
      <w:r w:rsidR="00384BF1" w:rsidRPr="00E500D6">
        <w:t>Elut</w:t>
      </w:r>
      <w:proofErr w:type="spellEnd"/>
      <w:r w:rsidR="00384BF1" w:rsidRPr="00E500D6">
        <w:t xml:space="preserve"> SI cartridges (100 mg, 1 mL). Sample analytes were eluted with 5% isopropanol in MTBE (v/v) into </w:t>
      </w:r>
      <w:proofErr w:type="spellStart"/>
      <w:r w:rsidR="00384BF1" w:rsidRPr="00E500D6">
        <w:t>silanized</w:t>
      </w:r>
      <w:proofErr w:type="spellEnd"/>
      <w:r w:rsidR="00384BF1" w:rsidRPr="00E500D6">
        <w:t xml:space="preserve"> glass culture tubes and dried under N</w:t>
      </w:r>
      <w:r w:rsidR="00384BF1" w:rsidRPr="00E500D6">
        <w:rPr>
          <w:vertAlign w:val="subscript"/>
        </w:rPr>
        <w:t>2</w:t>
      </w:r>
      <w:r w:rsidR="00384BF1" w:rsidRPr="00E500D6">
        <w:t xml:space="preserve"> gas at 37°C. The residue was reconstituted in 50 µL of acetonitrile, followed by the addition of DAPTAD (50 µL). Samples were shaken at room temperature for 45 minutes before the reaction was quenched by drying under N</w:t>
      </w:r>
      <w:r w:rsidR="00384BF1" w:rsidRPr="00E500D6">
        <w:rPr>
          <w:vertAlign w:val="subscript"/>
        </w:rPr>
        <w:t>2</w:t>
      </w:r>
      <w:r w:rsidR="00384BF1" w:rsidRPr="00E500D6">
        <w:t xml:space="preserve"> gas at 37°C. Following reconstitution in 45 µL of methanol and 20 µL of water, the derivatized samples were </w:t>
      </w:r>
      <w:r w:rsidR="00384BF1" w:rsidRPr="00E500D6">
        <w:lastRenderedPageBreak/>
        <w:t xml:space="preserve">centrifuged at 13,362 </w:t>
      </w:r>
      <w:r w:rsidR="00384BF1" w:rsidRPr="00E500D6">
        <w:rPr>
          <w:i/>
        </w:rPr>
        <w:t>g</w:t>
      </w:r>
      <w:r w:rsidR="00384BF1" w:rsidRPr="00E500D6">
        <w:t xml:space="preserve"> for 5 min to remove insoluble particulates and excess DAPTAD. The supernatant was transferred to a 96-well plate for LC-MS/MS analysis.</w:t>
      </w:r>
    </w:p>
    <w:p w14:paraId="2AF883EC" w14:textId="5D39BAD0" w:rsidR="00384BF1" w:rsidRPr="00E500D6" w:rsidRDefault="00384BF1" w:rsidP="00384BF1">
      <w:pPr>
        <w:widowControl w:val="0"/>
      </w:pPr>
      <w:r w:rsidRPr="00E500D6">
        <w:t xml:space="preserve">Liquid chromatography-mass spectrometry (LC-MS/MS) analysis was performed on a </w:t>
      </w:r>
      <w:proofErr w:type="spellStart"/>
      <w:r w:rsidRPr="00E500D6">
        <w:t>Sciex</w:t>
      </w:r>
      <w:proofErr w:type="spellEnd"/>
      <w:r w:rsidRPr="00E500D6">
        <w:t xml:space="preserve"> QTRAP 6500 hybrid triple quadrupole/linear ion trap mass spectrometer (Framingham, MA) coupled with a Shimadzu liquid chromatography system (Kyoto, Japan). Chromatographic separation was achieved using an </w:t>
      </w:r>
      <w:proofErr w:type="spellStart"/>
      <w:r w:rsidRPr="00E500D6">
        <w:t>Ascentis</w:t>
      </w:r>
      <w:proofErr w:type="spellEnd"/>
      <w:r w:rsidRPr="00E500D6">
        <w:t xml:space="preserve"> Express RP-Amide column (2.1 mm x 150 mm x 2.7 µm) (Sigma-Aldrich Corp.), attached to a </w:t>
      </w:r>
      <w:proofErr w:type="spellStart"/>
      <w:r w:rsidRPr="00E500D6">
        <w:t>SecurityGuard</w:t>
      </w:r>
      <w:proofErr w:type="spellEnd"/>
      <w:r w:rsidRPr="00E500D6">
        <w:t xml:space="preserve">™ ULTRA cartridge (2.1 mm x 2 µm) guard column (Phenomenex, Torrance, CA). The column temperature was maintained at 20°C with a mobile phase flowing at a rate of 0.275 mL/min. The autosampler was maintained at 4°C and the injection volume was 10 </w:t>
      </w:r>
      <w:proofErr w:type="spellStart"/>
      <w:r w:rsidRPr="00E500D6">
        <w:t>μL</w:t>
      </w:r>
      <w:proofErr w:type="spellEnd"/>
      <w:r w:rsidRPr="00E500D6">
        <w:t xml:space="preserve">. A gradient was used to elute the analytes with a mobile phase consisting of 0.1% formic acid in water (A) and 100% methanol (B)The total run time was 26 minutes. Mass spectrometric conditions are summarized in Table </w:t>
      </w:r>
      <w:r w:rsidR="002040B0">
        <w:t>S1</w:t>
      </w:r>
      <w:r w:rsidRPr="00E500D6">
        <w:t xml:space="preserve">. The electrospray ionization (ESI) source of the mass spectrometer was operated in the positive ion mode. Multiple reaction monitoring (MRM) was used for quantitation. The retention time, precursor and product ions, </w:t>
      </w:r>
      <w:proofErr w:type="spellStart"/>
      <w:r w:rsidRPr="00E500D6">
        <w:t>declustering</w:t>
      </w:r>
      <w:proofErr w:type="spellEnd"/>
      <w:r w:rsidRPr="00E500D6">
        <w:t xml:space="preserve"> potential, entrance potential, collision energy, and collision cell exit potential for each analyte are presented in Table </w:t>
      </w:r>
      <w:r w:rsidR="00663DA3" w:rsidRPr="00E500D6">
        <w:t>S1</w:t>
      </w:r>
      <w:r w:rsidRPr="00E500D6">
        <w:t xml:space="preserve">. </w:t>
      </w:r>
    </w:p>
    <w:p w14:paraId="1AE9B327" w14:textId="77777777" w:rsidR="00384BF1" w:rsidRPr="00E500D6" w:rsidRDefault="00384BF1" w:rsidP="00384BF1">
      <w:pPr>
        <w:widowControl w:val="0"/>
      </w:pPr>
      <w:r w:rsidRPr="00E500D6">
        <w:t xml:space="preserve">Peak integration was performed using </w:t>
      </w:r>
      <w:proofErr w:type="spellStart"/>
      <w:r w:rsidRPr="00E500D6">
        <w:t>MultiQuant</w:t>
      </w:r>
      <w:proofErr w:type="spellEnd"/>
      <w:r w:rsidRPr="00E500D6">
        <w:t xml:space="preserve"> software (version 3.0.2) from AB </w:t>
      </w:r>
      <w:proofErr w:type="spellStart"/>
      <w:r w:rsidRPr="00E500D6">
        <w:t>Sciex</w:t>
      </w:r>
      <w:proofErr w:type="spellEnd"/>
      <w:r w:rsidRPr="00E500D6">
        <w:t>. The peak height of 4β,25(OH)</w:t>
      </w:r>
      <w:r w:rsidRPr="00E500D6">
        <w:rPr>
          <w:vertAlign w:val="subscript"/>
        </w:rPr>
        <w:t>2</w:t>
      </w:r>
      <w:r w:rsidRPr="00E500D6">
        <w:t>D</w:t>
      </w:r>
      <w:r w:rsidRPr="00E500D6">
        <w:rPr>
          <w:vertAlign w:val="subscript"/>
        </w:rPr>
        <w:t xml:space="preserve">3 </w:t>
      </w:r>
      <w:r w:rsidRPr="00E500D6">
        <w:t>was normalized to</w:t>
      </w:r>
      <w:r w:rsidRPr="00E500D6">
        <w:rPr>
          <w:vertAlign w:val="subscript"/>
        </w:rPr>
        <w:t xml:space="preserve"> </w:t>
      </w:r>
      <w:r w:rsidRPr="00E500D6">
        <w:rPr>
          <w:i/>
        </w:rPr>
        <w:t>d</w:t>
      </w:r>
      <w:r w:rsidRPr="00E500D6">
        <w:rPr>
          <w:i/>
          <w:vertAlign w:val="subscript"/>
        </w:rPr>
        <w:t>6</w:t>
      </w:r>
      <w:r w:rsidRPr="00E500D6">
        <w:noBreakHyphen/>
        <w:t>1α,25(OH)</w:t>
      </w:r>
      <w:r w:rsidRPr="00E500D6">
        <w:rPr>
          <w:vertAlign w:val="subscript"/>
        </w:rPr>
        <w:t>2</w:t>
      </w:r>
      <w:r w:rsidRPr="00E500D6">
        <w:t>D</w:t>
      </w:r>
      <w:r w:rsidRPr="00E500D6">
        <w:rPr>
          <w:vertAlign w:val="subscript"/>
        </w:rPr>
        <w:t>3</w:t>
      </w:r>
      <w:r w:rsidRPr="00E500D6">
        <w:t>. A quadratic equation with 1/x</w:t>
      </w:r>
      <w:r w:rsidRPr="00E500D6">
        <w:rPr>
          <w:vertAlign w:val="superscript"/>
        </w:rPr>
        <w:t>2</w:t>
      </w:r>
      <w:r w:rsidRPr="00E500D6">
        <w:t xml:space="preserve"> weighting was used to estimate the relationship between the peak height ratio and concentration. The lower limit of detection (LLOD) was set at 5 times above background.</w:t>
      </w:r>
    </w:p>
    <w:p w14:paraId="128A9E69" w14:textId="77777777" w:rsidR="00384BF1" w:rsidRPr="00E500D6" w:rsidRDefault="00384BF1" w:rsidP="00384BF1">
      <w:pPr>
        <w:widowControl w:val="0"/>
      </w:pPr>
      <w:r w:rsidRPr="00E500D6">
        <w:t>The conjugated metabolites, 25(OH)D</w:t>
      </w:r>
      <w:r w:rsidRPr="00E500D6">
        <w:rPr>
          <w:vertAlign w:val="subscript"/>
        </w:rPr>
        <w:t>3</w:t>
      </w:r>
      <w:r w:rsidRPr="00E500D6">
        <w:t>-S and 25(OH)D</w:t>
      </w:r>
      <w:r w:rsidRPr="00E500D6">
        <w:rPr>
          <w:vertAlign w:val="subscript"/>
        </w:rPr>
        <w:t>3</w:t>
      </w:r>
      <w:r w:rsidRPr="00E500D6">
        <w:t xml:space="preserve">-G, were quantified by the LC-MS/MS method described in Gao et al. </w:t>
      </w:r>
      <w:r w:rsidRPr="00E500D6">
        <w:fldChar w:fldCharType="begin">
          <w:fldData xml:space="preserve">PEVuZE5vdGU+PENpdGU+PEF1dGhvcj5HYW88L0F1dGhvcj48WWVhcj4yMDE3PC9ZZWFyPjxSZWNO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</w:fldData>
        </w:fldChar>
      </w:r>
      <w:r w:rsidRPr="00E500D6">
        <w:instrText xml:space="preserve"> ADDIN EN.CITE </w:instrText>
      </w:r>
      <w:r w:rsidRPr="00E500D6">
        <w:fldChar w:fldCharType="begin">
          <w:fldData xml:space="preserve">PEVuZE5vdGU+PENpdGU+PEF1dGhvcj5HYW88L0F1dGhvcj48WWVhcj4yMDE3PC9ZZWFyPjxSZWNO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</w:fldData>
        </w:fldChar>
      </w:r>
      <w:r w:rsidRPr="00E500D6">
        <w:instrText xml:space="preserve"> ADDIN EN.CITE.DATA </w:instrText>
      </w:r>
      <w:r w:rsidRPr="00E500D6">
        <w:fldChar w:fldCharType="end"/>
      </w:r>
      <w:r w:rsidRPr="00E500D6">
        <w:fldChar w:fldCharType="separate"/>
      </w:r>
      <w:r w:rsidRPr="00E500D6">
        <w:rPr>
          <w:noProof/>
        </w:rPr>
        <w:t>(51)</w:t>
      </w:r>
      <w:r w:rsidRPr="00E500D6">
        <w:fldChar w:fldCharType="end"/>
      </w:r>
      <w:r w:rsidRPr="00E500D6">
        <w:t xml:space="preserve">. In brief, the calibration curve and QC samples were prepared in vitamin D-free serum. The internal standards, </w:t>
      </w:r>
      <w:r w:rsidRPr="00E500D6">
        <w:rPr>
          <w:i/>
          <w:iCs/>
        </w:rPr>
        <w:t>d</w:t>
      </w:r>
      <w:r w:rsidRPr="00E500D6">
        <w:rPr>
          <w:i/>
          <w:iCs/>
          <w:vertAlign w:val="subscript"/>
        </w:rPr>
        <w:t>6</w:t>
      </w:r>
      <w:r w:rsidRPr="00E500D6">
        <w:t>-25(OH)D</w:t>
      </w:r>
      <w:r w:rsidRPr="00E500D6">
        <w:rPr>
          <w:vertAlign w:val="subscript"/>
        </w:rPr>
        <w:t>3</w:t>
      </w:r>
      <w:r w:rsidRPr="00E500D6">
        <w:t xml:space="preserve">-S and </w:t>
      </w:r>
      <w:r w:rsidRPr="00E500D6">
        <w:rPr>
          <w:i/>
          <w:iCs/>
        </w:rPr>
        <w:t>d</w:t>
      </w:r>
      <w:r w:rsidRPr="00E500D6">
        <w:rPr>
          <w:i/>
          <w:iCs/>
          <w:vertAlign w:val="subscript"/>
        </w:rPr>
        <w:t>6</w:t>
      </w:r>
      <w:r w:rsidRPr="00E500D6">
        <w:t>-25(OH)D</w:t>
      </w:r>
      <w:r w:rsidRPr="00E500D6">
        <w:rPr>
          <w:vertAlign w:val="subscript"/>
        </w:rPr>
        <w:t>3</w:t>
      </w:r>
      <w:r w:rsidRPr="00E500D6">
        <w:t xml:space="preserve">-G, were generated by enzymatic incubations with </w:t>
      </w:r>
      <w:r w:rsidRPr="00E500D6">
        <w:rPr>
          <w:i/>
          <w:iCs/>
        </w:rPr>
        <w:t>d</w:t>
      </w:r>
      <w:r w:rsidRPr="00E500D6">
        <w:rPr>
          <w:i/>
          <w:iCs/>
          <w:vertAlign w:val="subscript"/>
        </w:rPr>
        <w:t>6</w:t>
      </w:r>
      <w:r w:rsidRPr="00E500D6">
        <w:t>-25(OH)D</w:t>
      </w:r>
      <w:r w:rsidRPr="00E500D6">
        <w:rPr>
          <w:vertAlign w:val="subscript"/>
        </w:rPr>
        <w:t>3</w:t>
      </w:r>
      <w:r w:rsidRPr="00E500D6">
        <w:t xml:space="preserve">. The </w:t>
      </w:r>
      <w:r w:rsidRPr="00E500D6">
        <w:rPr>
          <w:i/>
          <w:iCs/>
        </w:rPr>
        <w:t>d</w:t>
      </w:r>
      <w:r w:rsidRPr="00E500D6">
        <w:rPr>
          <w:i/>
          <w:iCs/>
          <w:vertAlign w:val="subscript"/>
        </w:rPr>
        <w:t>6</w:t>
      </w:r>
      <w:r w:rsidRPr="00E500D6">
        <w:t>-25(OH)D</w:t>
      </w:r>
      <w:r w:rsidRPr="00E500D6">
        <w:rPr>
          <w:vertAlign w:val="subscript"/>
        </w:rPr>
        <w:t>3</w:t>
      </w:r>
      <w:r w:rsidRPr="00E500D6">
        <w:t xml:space="preserve">-S internal standard was prepared by incubating 25 µM of </w:t>
      </w:r>
      <w:r w:rsidRPr="00E500D6">
        <w:rPr>
          <w:i/>
          <w:iCs/>
        </w:rPr>
        <w:t>d</w:t>
      </w:r>
      <w:r w:rsidRPr="00E500D6">
        <w:rPr>
          <w:i/>
          <w:iCs/>
          <w:vertAlign w:val="subscript"/>
        </w:rPr>
        <w:t>6</w:t>
      </w:r>
      <w:r w:rsidRPr="00E500D6">
        <w:t>-25(OH)D</w:t>
      </w:r>
      <w:r w:rsidRPr="00E500D6">
        <w:rPr>
          <w:vertAlign w:val="subscript"/>
        </w:rPr>
        <w:t>3</w:t>
      </w:r>
      <w:r w:rsidRPr="00E500D6">
        <w:t xml:space="preserve">, 0.1 M PAPS, and 4 mg/mL of pooled human </w:t>
      </w:r>
      <w:r w:rsidRPr="00E500D6">
        <w:lastRenderedPageBreak/>
        <w:t xml:space="preserve">liver cytosol in 50 mM Tris HCl buffer (pH: 7.5) (final volume 1 mL) at 37°C. The reaction was quenched after 3 to 5 hours with the addition of 1 mL of cold acetonitrile. The </w:t>
      </w:r>
      <w:r w:rsidRPr="00E500D6">
        <w:rPr>
          <w:i/>
          <w:iCs/>
        </w:rPr>
        <w:t>d</w:t>
      </w:r>
      <w:r w:rsidRPr="00E500D6">
        <w:rPr>
          <w:i/>
          <w:iCs/>
          <w:vertAlign w:val="subscript"/>
        </w:rPr>
        <w:t>6</w:t>
      </w:r>
      <w:r w:rsidRPr="00E500D6">
        <w:t>-25(OH)D</w:t>
      </w:r>
      <w:r w:rsidRPr="00E500D6">
        <w:rPr>
          <w:vertAlign w:val="subscript"/>
        </w:rPr>
        <w:t>3</w:t>
      </w:r>
      <w:r w:rsidRPr="00E500D6">
        <w:t xml:space="preserve">-G internal standard was prepared by incubating with 25 µM </w:t>
      </w:r>
      <w:r w:rsidRPr="00E500D6">
        <w:rPr>
          <w:i/>
          <w:iCs/>
        </w:rPr>
        <w:t>d</w:t>
      </w:r>
      <w:r w:rsidRPr="00E500D6">
        <w:rPr>
          <w:i/>
          <w:iCs/>
          <w:vertAlign w:val="subscript"/>
        </w:rPr>
        <w:t>6</w:t>
      </w:r>
      <w:r w:rsidRPr="00E500D6">
        <w:t>-25(OH)D</w:t>
      </w:r>
      <w:r w:rsidRPr="00E500D6">
        <w:rPr>
          <w:vertAlign w:val="subscript"/>
        </w:rPr>
        <w:t>3</w:t>
      </w:r>
      <w:r w:rsidRPr="00E500D6">
        <w:t xml:space="preserve">, 50 µg/mL </w:t>
      </w:r>
      <w:proofErr w:type="spellStart"/>
      <w:r w:rsidRPr="00E500D6">
        <w:t>alamethacin</w:t>
      </w:r>
      <w:proofErr w:type="spellEnd"/>
      <w:r w:rsidRPr="00E500D6">
        <w:t>, 5 mM MgCl</w:t>
      </w:r>
      <w:r w:rsidRPr="00E500D6">
        <w:rPr>
          <w:vertAlign w:val="subscript"/>
        </w:rPr>
        <w:t>2</w:t>
      </w:r>
      <w:r w:rsidRPr="00E500D6">
        <w:t xml:space="preserve">, 5 mM UDPGA, and 1 mg/mL pooled human liver microsomes in 50 mM Tris HCl buffer (pH 7.5) (final volume 1 mL) at 37°C. The reaction was quenched after 3 to 5 hours with 1 mL of cold acetonitrile. Precipitated proteins were removed from the internal standard products by centrifuging the samples at 13,000 g for 10 min at 4°C. Following derivatization with DAPTAD as described below, the abundance of </w:t>
      </w:r>
      <w:r w:rsidRPr="00E500D6">
        <w:rPr>
          <w:i/>
          <w:iCs/>
        </w:rPr>
        <w:t>d</w:t>
      </w:r>
      <w:r w:rsidRPr="00E500D6">
        <w:rPr>
          <w:i/>
          <w:iCs/>
          <w:vertAlign w:val="subscript"/>
        </w:rPr>
        <w:t>6</w:t>
      </w:r>
      <w:r w:rsidRPr="00E500D6">
        <w:t>-25(OH)D</w:t>
      </w:r>
      <w:r w:rsidRPr="00E500D6">
        <w:rPr>
          <w:vertAlign w:val="subscript"/>
        </w:rPr>
        <w:t>3</w:t>
      </w:r>
      <w:r w:rsidRPr="00E500D6">
        <w:t xml:space="preserve">-S and </w:t>
      </w:r>
      <w:r w:rsidRPr="00E500D6">
        <w:rPr>
          <w:i/>
          <w:iCs/>
        </w:rPr>
        <w:t>d</w:t>
      </w:r>
      <w:r w:rsidRPr="00E500D6">
        <w:rPr>
          <w:i/>
          <w:iCs/>
          <w:vertAlign w:val="subscript"/>
        </w:rPr>
        <w:t>6</w:t>
      </w:r>
      <w:r w:rsidRPr="00E500D6">
        <w:t>-25(OH)D</w:t>
      </w:r>
      <w:r w:rsidRPr="00E500D6">
        <w:rPr>
          <w:vertAlign w:val="subscript"/>
        </w:rPr>
        <w:t>3</w:t>
      </w:r>
      <w:r w:rsidRPr="00E500D6">
        <w:t xml:space="preserve">-G in the internal standard solutions was estimated by comparing LC-MS/MS peak heights with </w:t>
      </w:r>
      <w:proofErr w:type="spellStart"/>
      <w:r w:rsidRPr="00E500D6">
        <w:t>undeuterated</w:t>
      </w:r>
      <w:proofErr w:type="spellEnd"/>
      <w:r w:rsidRPr="00E500D6">
        <w:t xml:space="preserve"> 25(OH)D</w:t>
      </w:r>
      <w:r w:rsidRPr="00E500D6">
        <w:rPr>
          <w:vertAlign w:val="subscript"/>
        </w:rPr>
        <w:t>3</w:t>
      </w:r>
      <w:r w:rsidRPr="00E500D6">
        <w:t>-S and 25(OH)D</w:t>
      </w:r>
      <w:r w:rsidRPr="00E500D6">
        <w:rPr>
          <w:vertAlign w:val="subscript"/>
        </w:rPr>
        <w:t>3</w:t>
      </w:r>
      <w:r w:rsidRPr="00E500D6">
        <w:t>-G standards.</w:t>
      </w:r>
    </w:p>
    <w:p w14:paraId="6AEBE14F" w14:textId="77777777" w:rsidR="00384BF1" w:rsidRPr="00E500D6" w:rsidRDefault="00384BF1" w:rsidP="00384BF1">
      <w:pPr>
        <w:widowControl w:val="0"/>
      </w:pPr>
      <w:r w:rsidRPr="00E500D6">
        <w:t xml:space="preserve">Human serum (200 µL) was combined with approximately 4 </w:t>
      </w:r>
      <w:proofErr w:type="spellStart"/>
      <w:r w:rsidRPr="00E500D6">
        <w:t>pmol</w:t>
      </w:r>
      <w:proofErr w:type="spellEnd"/>
      <w:r w:rsidRPr="00E500D6">
        <w:t xml:space="preserve"> of </w:t>
      </w:r>
      <w:r w:rsidRPr="00E500D6">
        <w:rPr>
          <w:i/>
          <w:iCs/>
        </w:rPr>
        <w:t>d</w:t>
      </w:r>
      <w:r w:rsidRPr="00E500D6">
        <w:rPr>
          <w:i/>
          <w:iCs/>
          <w:vertAlign w:val="subscript"/>
        </w:rPr>
        <w:t>6</w:t>
      </w:r>
      <w:r w:rsidRPr="00E500D6">
        <w:t>-25(OH)D</w:t>
      </w:r>
      <w:r w:rsidRPr="00E500D6">
        <w:rPr>
          <w:vertAlign w:val="subscript"/>
        </w:rPr>
        <w:t>3</w:t>
      </w:r>
      <w:r w:rsidRPr="00E500D6">
        <w:t xml:space="preserve">-S and 1.6 </w:t>
      </w:r>
      <w:proofErr w:type="spellStart"/>
      <w:r w:rsidRPr="00E500D6">
        <w:t>pmol</w:t>
      </w:r>
      <w:proofErr w:type="spellEnd"/>
      <w:r w:rsidRPr="00E500D6">
        <w:t xml:space="preserve"> of </w:t>
      </w:r>
      <w:r w:rsidRPr="00E500D6">
        <w:rPr>
          <w:i/>
          <w:iCs/>
        </w:rPr>
        <w:t>d</w:t>
      </w:r>
      <w:r w:rsidRPr="00E500D6">
        <w:rPr>
          <w:i/>
          <w:iCs/>
          <w:vertAlign w:val="subscript"/>
        </w:rPr>
        <w:t>6</w:t>
      </w:r>
      <w:r w:rsidRPr="00E500D6">
        <w:t>-25(OH)D</w:t>
      </w:r>
      <w:r w:rsidRPr="00E500D6">
        <w:rPr>
          <w:vertAlign w:val="subscript"/>
        </w:rPr>
        <w:t>3</w:t>
      </w:r>
      <w:r w:rsidRPr="00E500D6">
        <w:t xml:space="preserve">-G. Proteins were precipitated with 1 mL of acetonitrile and centrifuged at 13,000 </w:t>
      </w:r>
      <w:r w:rsidRPr="00E500D6">
        <w:rPr>
          <w:i/>
          <w:iCs/>
        </w:rPr>
        <w:t>g</w:t>
      </w:r>
      <w:r w:rsidRPr="00E500D6">
        <w:t xml:space="preserve"> for 10 min at 4°C. The supernatants were combined with 1 mL of 0.1 M sodium acetate (pH 3.2). The samples were subjected to SPE using Waters Oasis WAX (1 cc, 30 mg, 60 </w:t>
      </w:r>
      <w:proofErr w:type="spellStart"/>
      <w:r w:rsidRPr="00E500D6">
        <w:t>μm</w:t>
      </w:r>
      <w:proofErr w:type="spellEnd"/>
      <w:r w:rsidRPr="00E500D6">
        <w:t>) anion exchange cartridges (Waters (Milford, MA). The analytes were eluted from the column with the addition of 28% w/w ammonium hydroxide in methanol (3:97 v/v). Samples were dried under N</w:t>
      </w:r>
      <w:r w:rsidRPr="00E500D6">
        <w:rPr>
          <w:vertAlign w:val="subscript"/>
        </w:rPr>
        <w:t>2</w:t>
      </w:r>
      <w:r w:rsidRPr="00E500D6">
        <w:t xml:space="preserve"> at 37°C and reconstituted in 50 µL of acetonitrile and derivatized with 50 µL of DAPTAD solution for 1 hour. Solutions were dried under N</w:t>
      </w:r>
      <w:r w:rsidRPr="00E500D6">
        <w:rPr>
          <w:vertAlign w:val="subscript"/>
        </w:rPr>
        <w:t>2</w:t>
      </w:r>
      <w:r w:rsidRPr="00E500D6">
        <w:t xml:space="preserve"> at 37°C, reconstituted in 100 </w:t>
      </w:r>
      <w:proofErr w:type="spellStart"/>
      <w:r w:rsidRPr="00E500D6">
        <w:t>μL</w:t>
      </w:r>
      <w:proofErr w:type="spellEnd"/>
      <w:r w:rsidRPr="00E500D6">
        <w:t xml:space="preserve"> of 30% acetonitrile in water and centrifuged at 20,000 </w:t>
      </w:r>
      <w:r w:rsidRPr="00E500D6">
        <w:rPr>
          <w:i/>
          <w:iCs/>
        </w:rPr>
        <w:t>g</w:t>
      </w:r>
      <w:r w:rsidRPr="00E500D6">
        <w:t xml:space="preserve"> at 4°C for 5 min to remove excess DAPTAD.</w:t>
      </w:r>
    </w:p>
    <w:p w14:paraId="762F7241" w14:textId="3998543D" w:rsidR="00384BF1" w:rsidRPr="00E500D6" w:rsidRDefault="00384BF1" w:rsidP="00384BF1">
      <w:pPr>
        <w:widowControl w:val="0"/>
      </w:pPr>
      <w:r w:rsidRPr="00E500D6">
        <w:t xml:space="preserve">Chromatographic separation was achieved using a </w:t>
      </w:r>
      <w:proofErr w:type="spellStart"/>
      <w:r w:rsidRPr="00E500D6">
        <w:t>Hypersil</w:t>
      </w:r>
      <w:proofErr w:type="spellEnd"/>
      <w:r w:rsidRPr="00E500D6">
        <w:t xml:space="preserve"> Gold (2.1 × 100 mm, 1.9 </w:t>
      </w:r>
      <w:proofErr w:type="spellStart"/>
      <w:r w:rsidRPr="00E500D6">
        <w:t>μm</w:t>
      </w:r>
      <w:proofErr w:type="spellEnd"/>
      <w:r w:rsidRPr="00E500D6">
        <w:t>) column (</w:t>
      </w:r>
      <w:proofErr w:type="spellStart"/>
      <w:r w:rsidRPr="00E500D6">
        <w:t>Thermo</w:t>
      </w:r>
      <w:proofErr w:type="spellEnd"/>
      <w:r w:rsidRPr="00E500D6">
        <w:t xml:space="preserve"> Fisher Scientific, Waltham, MA) maintained at 45°C. LC-MS/MS analysis was performed on a </w:t>
      </w:r>
      <w:proofErr w:type="spellStart"/>
      <w:r w:rsidRPr="00E500D6">
        <w:t>Sciex</w:t>
      </w:r>
      <w:proofErr w:type="spellEnd"/>
      <w:r w:rsidRPr="00E500D6">
        <w:t xml:space="preserve"> QTRAP 6500 hybrid triple quadrupole/linear ion trap mass spectrometer with ESI operated in the positive mode coupled with a Shimadzu liquid chromatography system. The MRM transitions used for quantification, standard curve range, and the limits of quantification are presented in Table </w:t>
      </w:r>
      <w:r w:rsidR="00663DA3" w:rsidRPr="00E500D6">
        <w:t>S2</w:t>
      </w:r>
      <w:r w:rsidRPr="00E500D6">
        <w:t>.</w:t>
      </w:r>
    </w:p>
    <w:p w14:paraId="506CE118" w14:textId="0F761605" w:rsidR="00DC418E" w:rsidRPr="00E500D6" w:rsidRDefault="00384BF1" w:rsidP="00240321">
      <w:pPr>
        <w:ind w:firstLine="0"/>
        <w:rPr>
          <w:b/>
          <w:bCs/>
        </w:rPr>
        <w:sectPr w:rsidR="00DC418E" w:rsidRPr="00E500D6" w:rsidSect="00DC418E">
          <w:pgSz w:w="12240" w:h="15840"/>
          <w:pgMar w:top="1440" w:right="1440" w:bottom="1440" w:left="1440" w:header="720" w:footer="720" w:gutter="0"/>
          <w:cols w:space="720"/>
          <w:titlePg/>
          <w:docGrid w:linePitch="360"/>
        </w:sectPr>
      </w:pPr>
      <w:r w:rsidRPr="00E500D6">
        <w:lastRenderedPageBreak/>
        <w:t xml:space="preserve">Peak integration was performed by </w:t>
      </w:r>
      <w:proofErr w:type="spellStart"/>
      <w:r w:rsidRPr="00E500D6">
        <w:t>MultiQuant</w:t>
      </w:r>
      <w:proofErr w:type="spellEnd"/>
      <w:r w:rsidRPr="00E500D6">
        <w:t xml:space="preserve"> software (version 3.0.2). Peak area ratios were determined by taking the peak areas of 25(OH)D</w:t>
      </w:r>
      <w:r w:rsidRPr="00E500D6">
        <w:rPr>
          <w:vertAlign w:val="subscript"/>
        </w:rPr>
        <w:t>3</w:t>
      </w:r>
      <w:r w:rsidRPr="00E500D6">
        <w:t>-S or 25(OH)D</w:t>
      </w:r>
      <w:r w:rsidRPr="00E500D6">
        <w:rPr>
          <w:vertAlign w:val="subscript"/>
        </w:rPr>
        <w:t>3</w:t>
      </w:r>
      <w:r w:rsidRPr="00E500D6">
        <w:t>-G and normalizing to the respective deuterated metabolite peak areas. A linear equation with 1/x</w:t>
      </w:r>
      <w:r w:rsidRPr="00E500D6">
        <w:rPr>
          <w:vertAlign w:val="superscript"/>
        </w:rPr>
        <w:t>2</w:t>
      </w:r>
      <w:r w:rsidRPr="00E500D6">
        <w:t xml:space="preserve"> weighting was fit to estimate the relationship between peak area ratios and concentrations of 25(OH)D</w:t>
      </w:r>
      <w:r w:rsidRPr="00E500D6">
        <w:rPr>
          <w:vertAlign w:val="subscript"/>
        </w:rPr>
        <w:t>3</w:t>
      </w:r>
      <w:r w:rsidRPr="00E500D6">
        <w:t>-S or 25(OH)D</w:t>
      </w:r>
      <w:r w:rsidRPr="00E500D6">
        <w:rPr>
          <w:vertAlign w:val="subscript"/>
        </w:rPr>
        <w:t>3</w:t>
      </w:r>
      <w:r w:rsidRPr="00E500D6">
        <w:t>-G</w:t>
      </w:r>
      <w:r w:rsidR="00DC418E" w:rsidRPr="00E500D6">
        <w:t>.</w:t>
      </w:r>
    </w:p>
    <w:p w14:paraId="62660EA7" w14:textId="2D5AB561" w:rsidR="00240321" w:rsidRPr="00E500D6" w:rsidRDefault="00240321" w:rsidP="00240321">
      <w:pPr>
        <w:ind w:firstLine="0"/>
        <w:rPr>
          <w:vertAlign w:val="subscript"/>
        </w:rPr>
      </w:pPr>
      <w:r w:rsidRPr="00E500D6">
        <w:rPr>
          <w:b/>
          <w:bCs/>
        </w:rPr>
        <w:lastRenderedPageBreak/>
        <w:t xml:space="preserve">Table </w:t>
      </w:r>
      <w:r w:rsidR="00DC418E" w:rsidRPr="00E500D6">
        <w:rPr>
          <w:b/>
          <w:bCs/>
        </w:rPr>
        <w:t>S</w:t>
      </w:r>
      <w:r w:rsidRPr="00E500D6">
        <w:rPr>
          <w:b/>
          <w:bCs/>
        </w:rPr>
        <w:t>1:</w:t>
      </w:r>
      <w:r w:rsidRPr="00E500D6">
        <w:t xml:space="preserve"> Retention time, precursor molecular ion/product ion for quantification and detection parameters for 4β,25(OH)</w:t>
      </w:r>
      <w:r w:rsidRPr="00E500D6">
        <w:rPr>
          <w:vertAlign w:val="subscript"/>
        </w:rPr>
        <w:t>2</w:t>
      </w:r>
      <w:r w:rsidRPr="00E500D6">
        <w:t>D</w:t>
      </w:r>
      <w:r w:rsidRPr="00E500D6">
        <w:rPr>
          <w:vertAlign w:val="subscript"/>
        </w:rPr>
        <w:t>3</w:t>
      </w:r>
      <w:r w:rsidRPr="00E500D6">
        <w:t xml:space="preserve"> and its internal standard</w:t>
      </w:r>
      <w:r w:rsidRPr="00E500D6">
        <w:rPr>
          <w:b/>
          <w:bCs/>
        </w:rPr>
        <w:t xml:space="preserve"> </w:t>
      </w:r>
    </w:p>
    <w:tbl>
      <w:tblPr>
        <w:tblStyle w:val="TableGrid"/>
        <w:tblW w:w="125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800"/>
        <w:gridCol w:w="1620"/>
        <w:gridCol w:w="1440"/>
        <w:gridCol w:w="990"/>
        <w:gridCol w:w="990"/>
        <w:gridCol w:w="1530"/>
        <w:gridCol w:w="2070"/>
      </w:tblGrid>
      <w:tr w:rsidR="00240321" w:rsidRPr="00E500D6" w14:paraId="7CD49291" w14:textId="77777777" w:rsidTr="00753076">
        <w:trPr>
          <w:trHeight w:val="360"/>
          <w:jc w:val="center"/>
        </w:trPr>
        <w:tc>
          <w:tcPr>
            <w:tcW w:w="2070" w:type="dxa"/>
            <w:tcBorders>
              <w:top w:val="single" w:sz="8" w:space="0" w:color="auto"/>
              <w:bottom w:val="single" w:sz="8" w:space="0" w:color="auto"/>
            </w:tcBorders>
            <w:vAlign w:val="center"/>
          </w:tcPr>
          <w:p w14:paraId="004D1681" w14:textId="77777777" w:rsidR="00240321" w:rsidRPr="00E500D6" w:rsidRDefault="00240321" w:rsidP="00753076">
            <w:pPr>
              <w:pStyle w:val="Table"/>
              <w:rPr>
                <w:bCs/>
              </w:rPr>
            </w:pPr>
            <w:r w:rsidRPr="00E500D6">
              <w:rPr>
                <w:bCs/>
              </w:rPr>
              <w:t>Analyte</w:t>
            </w:r>
          </w:p>
        </w:tc>
        <w:tc>
          <w:tcPr>
            <w:tcW w:w="1800" w:type="dxa"/>
            <w:tcBorders>
              <w:top w:val="single" w:sz="8" w:space="0" w:color="auto"/>
              <w:bottom w:val="single" w:sz="8" w:space="0" w:color="auto"/>
            </w:tcBorders>
            <w:vAlign w:val="center"/>
          </w:tcPr>
          <w:p w14:paraId="286513AE" w14:textId="77777777" w:rsidR="00240321" w:rsidRPr="00E500D6" w:rsidRDefault="00240321" w:rsidP="00753076">
            <w:pPr>
              <w:pStyle w:val="Table"/>
              <w:jc w:val="center"/>
              <w:rPr>
                <w:bCs/>
              </w:rPr>
            </w:pPr>
            <w:r w:rsidRPr="00E500D6">
              <w:rPr>
                <w:bCs/>
              </w:rPr>
              <w:t>Retention Time</w:t>
            </w:r>
          </w:p>
          <w:p w14:paraId="48B0B242" w14:textId="77777777" w:rsidR="00240321" w:rsidRPr="00E500D6" w:rsidRDefault="00240321" w:rsidP="00753076">
            <w:pPr>
              <w:pStyle w:val="Table"/>
              <w:jc w:val="center"/>
              <w:rPr>
                <w:bCs/>
              </w:rPr>
            </w:pPr>
            <w:r w:rsidRPr="00E500D6">
              <w:rPr>
                <w:bCs/>
              </w:rPr>
              <w:t>(min)</w:t>
            </w:r>
          </w:p>
        </w:tc>
        <w:tc>
          <w:tcPr>
            <w:tcW w:w="1620" w:type="dxa"/>
            <w:tcBorders>
              <w:top w:val="single" w:sz="8" w:space="0" w:color="auto"/>
              <w:bottom w:val="single" w:sz="8" w:space="0" w:color="auto"/>
            </w:tcBorders>
            <w:vAlign w:val="center"/>
          </w:tcPr>
          <w:p w14:paraId="3DB3711B" w14:textId="77777777" w:rsidR="00240321" w:rsidRPr="00E500D6" w:rsidRDefault="00240321" w:rsidP="00753076">
            <w:pPr>
              <w:pStyle w:val="Table"/>
              <w:jc w:val="center"/>
              <w:rPr>
                <w:bCs/>
              </w:rPr>
            </w:pPr>
            <w:r w:rsidRPr="00E500D6">
              <w:rPr>
                <w:bCs/>
              </w:rPr>
              <w:t>Precursor Ion</w:t>
            </w:r>
          </w:p>
        </w:tc>
        <w:tc>
          <w:tcPr>
            <w:tcW w:w="1440" w:type="dxa"/>
            <w:tcBorders>
              <w:top w:val="single" w:sz="8" w:space="0" w:color="auto"/>
              <w:bottom w:val="single" w:sz="8" w:space="0" w:color="auto"/>
            </w:tcBorders>
            <w:vAlign w:val="center"/>
          </w:tcPr>
          <w:p w14:paraId="2806FE90" w14:textId="77777777" w:rsidR="00240321" w:rsidRPr="00E500D6" w:rsidRDefault="00240321" w:rsidP="00753076">
            <w:pPr>
              <w:pStyle w:val="Table"/>
              <w:jc w:val="center"/>
              <w:rPr>
                <w:bCs/>
              </w:rPr>
            </w:pPr>
            <w:r w:rsidRPr="00E500D6">
              <w:rPr>
                <w:bCs/>
              </w:rPr>
              <w:t>Product Ion</w:t>
            </w:r>
          </w:p>
        </w:tc>
        <w:tc>
          <w:tcPr>
            <w:tcW w:w="990" w:type="dxa"/>
            <w:tcBorders>
              <w:top w:val="single" w:sz="8" w:space="0" w:color="auto"/>
              <w:bottom w:val="single" w:sz="8" w:space="0" w:color="auto"/>
            </w:tcBorders>
            <w:vAlign w:val="center"/>
          </w:tcPr>
          <w:p w14:paraId="2F60A76A" w14:textId="77777777" w:rsidR="00240321" w:rsidRPr="00E500D6" w:rsidRDefault="00240321" w:rsidP="00753076">
            <w:pPr>
              <w:pStyle w:val="Table"/>
              <w:jc w:val="center"/>
              <w:rPr>
                <w:bCs/>
              </w:rPr>
            </w:pPr>
            <w:proofErr w:type="spellStart"/>
            <w:r w:rsidRPr="00E500D6">
              <w:rPr>
                <w:bCs/>
              </w:rPr>
              <w:t>DP</w:t>
            </w:r>
            <w:r w:rsidRPr="00E500D6">
              <w:rPr>
                <w:bCs/>
                <w:vertAlign w:val="superscript"/>
              </w:rPr>
              <w:t>a</w:t>
            </w:r>
            <w:proofErr w:type="spellEnd"/>
          </w:p>
          <w:p w14:paraId="2A0363D4" w14:textId="77777777" w:rsidR="00240321" w:rsidRPr="00E500D6" w:rsidRDefault="00240321" w:rsidP="00753076">
            <w:pPr>
              <w:pStyle w:val="Table"/>
              <w:jc w:val="center"/>
              <w:rPr>
                <w:bCs/>
              </w:rPr>
            </w:pPr>
            <w:r w:rsidRPr="00E500D6">
              <w:rPr>
                <w:bCs/>
              </w:rPr>
              <w:t>(V)</w:t>
            </w:r>
          </w:p>
        </w:tc>
        <w:tc>
          <w:tcPr>
            <w:tcW w:w="990" w:type="dxa"/>
            <w:tcBorders>
              <w:top w:val="single" w:sz="8" w:space="0" w:color="auto"/>
              <w:bottom w:val="single" w:sz="8" w:space="0" w:color="auto"/>
            </w:tcBorders>
            <w:vAlign w:val="center"/>
          </w:tcPr>
          <w:p w14:paraId="5F197915" w14:textId="77777777" w:rsidR="00240321" w:rsidRPr="00E500D6" w:rsidRDefault="00240321" w:rsidP="00753076">
            <w:pPr>
              <w:pStyle w:val="Table"/>
              <w:jc w:val="center"/>
              <w:rPr>
                <w:bCs/>
              </w:rPr>
            </w:pPr>
            <w:proofErr w:type="spellStart"/>
            <w:r w:rsidRPr="00E500D6">
              <w:rPr>
                <w:bCs/>
              </w:rPr>
              <w:t>CE</w:t>
            </w:r>
            <w:r w:rsidRPr="00E500D6">
              <w:rPr>
                <w:bCs/>
                <w:vertAlign w:val="superscript"/>
              </w:rPr>
              <w:t>b</w:t>
            </w:r>
            <w:proofErr w:type="spellEnd"/>
          </w:p>
          <w:p w14:paraId="6F46F5E4" w14:textId="77777777" w:rsidR="00240321" w:rsidRPr="00E500D6" w:rsidRDefault="00240321" w:rsidP="00753076">
            <w:pPr>
              <w:pStyle w:val="Table"/>
              <w:jc w:val="center"/>
              <w:rPr>
                <w:bCs/>
              </w:rPr>
            </w:pPr>
            <w:r w:rsidRPr="00E500D6">
              <w:rPr>
                <w:bCs/>
              </w:rPr>
              <w:t>(V)</w:t>
            </w:r>
          </w:p>
        </w:tc>
        <w:tc>
          <w:tcPr>
            <w:tcW w:w="1530" w:type="dxa"/>
            <w:tcBorders>
              <w:top w:val="single" w:sz="8" w:space="0" w:color="auto"/>
              <w:bottom w:val="single" w:sz="8" w:space="0" w:color="auto"/>
            </w:tcBorders>
            <w:vAlign w:val="center"/>
          </w:tcPr>
          <w:p w14:paraId="10540ED0" w14:textId="77777777" w:rsidR="00240321" w:rsidRPr="00E500D6" w:rsidRDefault="00240321" w:rsidP="00753076">
            <w:pPr>
              <w:pStyle w:val="Table"/>
              <w:jc w:val="center"/>
              <w:rPr>
                <w:bCs/>
                <w:vertAlign w:val="superscript"/>
              </w:rPr>
            </w:pPr>
            <w:proofErr w:type="spellStart"/>
            <w:r w:rsidRPr="00E500D6">
              <w:rPr>
                <w:bCs/>
              </w:rPr>
              <w:t>LLOQ</w:t>
            </w:r>
            <w:r w:rsidRPr="00E500D6">
              <w:rPr>
                <w:bCs/>
                <w:vertAlign w:val="superscript"/>
              </w:rPr>
              <w:t>c</w:t>
            </w:r>
            <w:proofErr w:type="spellEnd"/>
          </w:p>
          <w:p w14:paraId="03C8F318" w14:textId="77777777" w:rsidR="00240321" w:rsidRPr="00E500D6" w:rsidRDefault="00240321" w:rsidP="00753076">
            <w:pPr>
              <w:pStyle w:val="Table"/>
              <w:jc w:val="center"/>
              <w:rPr>
                <w:bCs/>
              </w:rPr>
            </w:pPr>
            <w:r w:rsidRPr="00E500D6">
              <w:rPr>
                <w:bCs/>
              </w:rPr>
              <w:t>(</w:t>
            </w:r>
            <w:proofErr w:type="spellStart"/>
            <w:r w:rsidRPr="00E500D6">
              <w:rPr>
                <w:bCs/>
              </w:rPr>
              <w:t>pg</w:t>
            </w:r>
            <w:proofErr w:type="spellEnd"/>
            <w:r w:rsidRPr="00E500D6">
              <w:rPr>
                <w:bCs/>
              </w:rPr>
              <w:t>/mL)</w:t>
            </w:r>
          </w:p>
        </w:tc>
        <w:tc>
          <w:tcPr>
            <w:tcW w:w="2070" w:type="dxa"/>
            <w:tcBorders>
              <w:top w:val="single" w:sz="8" w:space="0" w:color="auto"/>
              <w:bottom w:val="single" w:sz="8" w:space="0" w:color="auto"/>
            </w:tcBorders>
            <w:vAlign w:val="center"/>
          </w:tcPr>
          <w:p w14:paraId="4F2295AB" w14:textId="77777777" w:rsidR="00240321" w:rsidRPr="00E500D6" w:rsidRDefault="00240321" w:rsidP="00753076">
            <w:pPr>
              <w:pStyle w:val="Table"/>
              <w:jc w:val="center"/>
              <w:rPr>
                <w:bCs/>
              </w:rPr>
            </w:pPr>
            <w:r w:rsidRPr="00E500D6">
              <w:rPr>
                <w:bCs/>
              </w:rPr>
              <w:t>Standard Curve Range (</w:t>
            </w:r>
            <w:proofErr w:type="spellStart"/>
            <w:r w:rsidRPr="00E500D6">
              <w:rPr>
                <w:bCs/>
              </w:rPr>
              <w:t>pg</w:t>
            </w:r>
            <w:proofErr w:type="spellEnd"/>
            <w:r w:rsidRPr="00E500D6">
              <w:rPr>
                <w:bCs/>
              </w:rPr>
              <w:t>/mL)</w:t>
            </w:r>
          </w:p>
        </w:tc>
      </w:tr>
      <w:tr w:rsidR="00240321" w:rsidRPr="00E500D6" w14:paraId="06007295" w14:textId="77777777" w:rsidTr="00753076">
        <w:trPr>
          <w:trHeight w:val="360"/>
          <w:jc w:val="center"/>
        </w:trPr>
        <w:tc>
          <w:tcPr>
            <w:tcW w:w="2070" w:type="dxa"/>
            <w:vAlign w:val="center"/>
          </w:tcPr>
          <w:p w14:paraId="0207AF87" w14:textId="77777777" w:rsidR="00240321" w:rsidRPr="00E500D6" w:rsidRDefault="00240321" w:rsidP="00753076">
            <w:pPr>
              <w:pStyle w:val="Table"/>
              <w:rPr>
                <w:bCs/>
                <w:i/>
              </w:rPr>
            </w:pPr>
            <w:r w:rsidRPr="00E500D6">
              <w:rPr>
                <w:bCs/>
              </w:rPr>
              <w:t>4β,25(OH)</w:t>
            </w:r>
            <w:r w:rsidRPr="00E500D6">
              <w:rPr>
                <w:bCs/>
                <w:vertAlign w:val="subscript"/>
              </w:rPr>
              <w:t>2</w:t>
            </w:r>
            <w:r w:rsidRPr="00E500D6">
              <w:rPr>
                <w:bCs/>
              </w:rPr>
              <w:t>D</w:t>
            </w:r>
            <w:r w:rsidRPr="00E500D6">
              <w:rPr>
                <w:bCs/>
                <w:vertAlign w:val="subscript"/>
              </w:rPr>
              <w:t>3</w:t>
            </w:r>
            <w:r w:rsidRPr="00E500D6">
              <w:rPr>
                <w:bCs/>
              </w:rPr>
              <w:t xml:space="preserve"> </w:t>
            </w:r>
          </w:p>
        </w:tc>
        <w:tc>
          <w:tcPr>
            <w:tcW w:w="1800" w:type="dxa"/>
            <w:vAlign w:val="center"/>
          </w:tcPr>
          <w:p w14:paraId="7BE5826A" w14:textId="77777777" w:rsidR="00240321" w:rsidRPr="00E500D6" w:rsidRDefault="00240321" w:rsidP="00753076">
            <w:pPr>
              <w:pStyle w:val="Table"/>
              <w:jc w:val="center"/>
              <w:rPr>
                <w:bCs/>
              </w:rPr>
            </w:pPr>
            <w:r w:rsidRPr="00E500D6">
              <w:rPr>
                <w:bCs/>
              </w:rPr>
              <w:t>15.5</w:t>
            </w:r>
          </w:p>
        </w:tc>
        <w:tc>
          <w:tcPr>
            <w:tcW w:w="1620" w:type="dxa"/>
            <w:vAlign w:val="center"/>
          </w:tcPr>
          <w:p w14:paraId="2EC91B71" w14:textId="77777777" w:rsidR="00240321" w:rsidRPr="00E500D6" w:rsidRDefault="00240321" w:rsidP="00753076">
            <w:pPr>
              <w:pStyle w:val="Table"/>
              <w:jc w:val="center"/>
              <w:rPr>
                <w:bCs/>
              </w:rPr>
            </w:pPr>
            <w:r w:rsidRPr="00E500D6">
              <w:rPr>
                <w:bCs/>
              </w:rPr>
              <w:t>635.2</w:t>
            </w:r>
          </w:p>
        </w:tc>
        <w:tc>
          <w:tcPr>
            <w:tcW w:w="1440" w:type="dxa"/>
            <w:vAlign w:val="center"/>
          </w:tcPr>
          <w:p w14:paraId="742E7D10" w14:textId="77777777" w:rsidR="00240321" w:rsidRPr="00E500D6" w:rsidRDefault="00240321" w:rsidP="00753076">
            <w:pPr>
              <w:pStyle w:val="Table"/>
              <w:jc w:val="center"/>
              <w:rPr>
                <w:bCs/>
              </w:rPr>
            </w:pPr>
            <w:r w:rsidRPr="00E500D6">
              <w:rPr>
                <w:bCs/>
              </w:rPr>
              <w:t>357.1</w:t>
            </w:r>
          </w:p>
        </w:tc>
        <w:tc>
          <w:tcPr>
            <w:tcW w:w="990" w:type="dxa"/>
            <w:vAlign w:val="center"/>
          </w:tcPr>
          <w:p w14:paraId="3680C5CD" w14:textId="77777777" w:rsidR="00240321" w:rsidRPr="00E500D6" w:rsidRDefault="00240321" w:rsidP="00753076">
            <w:pPr>
              <w:pStyle w:val="Table"/>
              <w:jc w:val="center"/>
              <w:rPr>
                <w:bCs/>
              </w:rPr>
            </w:pPr>
            <w:r w:rsidRPr="00E500D6">
              <w:rPr>
                <w:bCs/>
              </w:rPr>
              <w:t>146</w:t>
            </w:r>
          </w:p>
        </w:tc>
        <w:tc>
          <w:tcPr>
            <w:tcW w:w="990" w:type="dxa"/>
            <w:vAlign w:val="center"/>
          </w:tcPr>
          <w:p w14:paraId="05310E09" w14:textId="77777777" w:rsidR="00240321" w:rsidRPr="00E500D6" w:rsidRDefault="00240321" w:rsidP="00753076">
            <w:pPr>
              <w:pStyle w:val="Table"/>
              <w:jc w:val="center"/>
              <w:rPr>
                <w:bCs/>
              </w:rPr>
            </w:pPr>
            <w:r w:rsidRPr="00E500D6">
              <w:rPr>
                <w:bCs/>
              </w:rPr>
              <w:t>33</w:t>
            </w:r>
          </w:p>
        </w:tc>
        <w:tc>
          <w:tcPr>
            <w:tcW w:w="1530" w:type="dxa"/>
            <w:vAlign w:val="center"/>
          </w:tcPr>
          <w:p w14:paraId="45F42A76" w14:textId="77777777" w:rsidR="00240321" w:rsidRPr="00E500D6" w:rsidRDefault="00240321" w:rsidP="00753076">
            <w:pPr>
              <w:pStyle w:val="Table"/>
              <w:jc w:val="center"/>
              <w:rPr>
                <w:bCs/>
              </w:rPr>
            </w:pPr>
            <w:r w:rsidRPr="00E500D6">
              <w:rPr>
                <w:bCs/>
              </w:rPr>
              <w:t>1.6</w:t>
            </w:r>
          </w:p>
        </w:tc>
        <w:tc>
          <w:tcPr>
            <w:tcW w:w="2070" w:type="dxa"/>
            <w:vAlign w:val="center"/>
          </w:tcPr>
          <w:p w14:paraId="430DDDBD" w14:textId="77777777" w:rsidR="00240321" w:rsidRPr="00E500D6" w:rsidRDefault="00240321" w:rsidP="00753076">
            <w:pPr>
              <w:pStyle w:val="Table"/>
              <w:jc w:val="center"/>
              <w:rPr>
                <w:bCs/>
              </w:rPr>
            </w:pPr>
            <w:r w:rsidRPr="00E500D6">
              <w:rPr>
                <w:bCs/>
              </w:rPr>
              <w:t>2-800</w:t>
            </w:r>
          </w:p>
        </w:tc>
      </w:tr>
      <w:tr w:rsidR="00240321" w:rsidRPr="00E500D6" w14:paraId="18226D82" w14:textId="77777777" w:rsidTr="00753076">
        <w:trPr>
          <w:trHeight w:val="360"/>
          <w:jc w:val="center"/>
        </w:trPr>
        <w:tc>
          <w:tcPr>
            <w:tcW w:w="2070" w:type="dxa"/>
            <w:tcBorders>
              <w:bottom w:val="single" w:sz="4" w:space="0" w:color="auto"/>
            </w:tcBorders>
            <w:vAlign w:val="center"/>
          </w:tcPr>
          <w:p w14:paraId="5A386637" w14:textId="77777777" w:rsidR="00240321" w:rsidRPr="00E500D6" w:rsidRDefault="00240321" w:rsidP="00753076">
            <w:pPr>
              <w:pStyle w:val="Table"/>
              <w:rPr>
                <w:bCs/>
                <w:i/>
              </w:rPr>
            </w:pPr>
            <w:r w:rsidRPr="00E500D6">
              <w:rPr>
                <w:bCs/>
                <w:i/>
              </w:rPr>
              <w:t>d</w:t>
            </w:r>
            <w:r w:rsidRPr="00E500D6">
              <w:rPr>
                <w:bCs/>
                <w:i/>
                <w:vertAlign w:val="subscript"/>
              </w:rPr>
              <w:t>6</w:t>
            </w:r>
            <w:r w:rsidRPr="00E500D6">
              <w:rPr>
                <w:bCs/>
                <w:i/>
              </w:rPr>
              <w:t>-</w:t>
            </w:r>
            <w:r w:rsidRPr="00E500D6">
              <w:rPr>
                <w:bCs/>
              </w:rPr>
              <w:t>1α,25(OH)</w:t>
            </w:r>
            <w:r w:rsidRPr="00E500D6">
              <w:rPr>
                <w:bCs/>
                <w:vertAlign w:val="subscript"/>
              </w:rPr>
              <w:t>2</w:t>
            </w:r>
            <w:r w:rsidRPr="00E500D6">
              <w:rPr>
                <w:bCs/>
              </w:rPr>
              <w:t>D</w:t>
            </w:r>
            <w:r w:rsidRPr="00E500D6">
              <w:rPr>
                <w:bCs/>
                <w:vertAlign w:val="subscript"/>
              </w:rPr>
              <w:t>3</w:t>
            </w:r>
            <w:r w:rsidRPr="00E500D6">
              <w:rPr>
                <w:bCs/>
              </w:rPr>
              <w:t xml:space="preserve"> </w:t>
            </w:r>
          </w:p>
        </w:tc>
        <w:tc>
          <w:tcPr>
            <w:tcW w:w="1800" w:type="dxa"/>
            <w:tcBorders>
              <w:bottom w:val="single" w:sz="4" w:space="0" w:color="auto"/>
            </w:tcBorders>
            <w:vAlign w:val="center"/>
          </w:tcPr>
          <w:p w14:paraId="40B62CA3" w14:textId="77777777" w:rsidR="00240321" w:rsidRPr="00E500D6" w:rsidRDefault="00240321" w:rsidP="00753076">
            <w:pPr>
              <w:pStyle w:val="Table"/>
              <w:jc w:val="center"/>
              <w:rPr>
                <w:bCs/>
              </w:rPr>
            </w:pPr>
            <w:r w:rsidRPr="00E500D6">
              <w:rPr>
                <w:bCs/>
              </w:rPr>
              <w:t>15.6</w:t>
            </w:r>
          </w:p>
        </w:tc>
        <w:tc>
          <w:tcPr>
            <w:tcW w:w="1620" w:type="dxa"/>
            <w:tcBorders>
              <w:bottom w:val="single" w:sz="4" w:space="0" w:color="auto"/>
            </w:tcBorders>
            <w:vAlign w:val="center"/>
          </w:tcPr>
          <w:p w14:paraId="27DB4F32" w14:textId="77777777" w:rsidR="00240321" w:rsidRPr="00E500D6" w:rsidRDefault="00240321" w:rsidP="00753076">
            <w:pPr>
              <w:pStyle w:val="Table"/>
              <w:jc w:val="center"/>
              <w:rPr>
                <w:bCs/>
              </w:rPr>
            </w:pPr>
            <w:r w:rsidRPr="00E500D6">
              <w:rPr>
                <w:bCs/>
              </w:rPr>
              <w:t>641.2</w:t>
            </w:r>
          </w:p>
        </w:tc>
        <w:tc>
          <w:tcPr>
            <w:tcW w:w="1440" w:type="dxa"/>
            <w:tcBorders>
              <w:bottom w:val="single" w:sz="4" w:space="0" w:color="auto"/>
            </w:tcBorders>
            <w:vAlign w:val="center"/>
          </w:tcPr>
          <w:p w14:paraId="2379ECCF" w14:textId="77777777" w:rsidR="00240321" w:rsidRPr="00E500D6" w:rsidRDefault="00240321" w:rsidP="00753076">
            <w:pPr>
              <w:pStyle w:val="Table"/>
              <w:jc w:val="center"/>
              <w:rPr>
                <w:bCs/>
              </w:rPr>
            </w:pPr>
            <w:r w:rsidRPr="00E500D6">
              <w:rPr>
                <w:bCs/>
              </w:rPr>
              <w:t>357.1</w:t>
            </w:r>
          </w:p>
        </w:tc>
        <w:tc>
          <w:tcPr>
            <w:tcW w:w="990" w:type="dxa"/>
            <w:tcBorders>
              <w:bottom w:val="single" w:sz="4" w:space="0" w:color="auto"/>
            </w:tcBorders>
            <w:vAlign w:val="center"/>
          </w:tcPr>
          <w:p w14:paraId="177E8B28" w14:textId="77777777" w:rsidR="00240321" w:rsidRPr="00E500D6" w:rsidRDefault="00240321" w:rsidP="00753076">
            <w:pPr>
              <w:pStyle w:val="Table"/>
              <w:jc w:val="center"/>
              <w:rPr>
                <w:bCs/>
              </w:rPr>
            </w:pPr>
            <w:r w:rsidRPr="00E500D6">
              <w:rPr>
                <w:bCs/>
              </w:rPr>
              <w:t>146</w:t>
            </w:r>
          </w:p>
        </w:tc>
        <w:tc>
          <w:tcPr>
            <w:tcW w:w="990" w:type="dxa"/>
            <w:tcBorders>
              <w:bottom w:val="single" w:sz="4" w:space="0" w:color="auto"/>
            </w:tcBorders>
            <w:vAlign w:val="center"/>
          </w:tcPr>
          <w:p w14:paraId="6CAD3BB8" w14:textId="77777777" w:rsidR="00240321" w:rsidRPr="00E500D6" w:rsidRDefault="00240321" w:rsidP="00753076">
            <w:pPr>
              <w:pStyle w:val="Table"/>
              <w:jc w:val="center"/>
              <w:rPr>
                <w:bCs/>
              </w:rPr>
            </w:pPr>
            <w:r w:rsidRPr="00E500D6">
              <w:rPr>
                <w:bCs/>
              </w:rPr>
              <w:t>33</w:t>
            </w:r>
          </w:p>
        </w:tc>
        <w:tc>
          <w:tcPr>
            <w:tcW w:w="1530" w:type="dxa"/>
            <w:tcBorders>
              <w:bottom w:val="single" w:sz="4" w:space="0" w:color="auto"/>
            </w:tcBorders>
            <w:vAlign w:val="center"/>
          </w:tcPr>
          <w:p w14:paraId="4CD8F8E8" w14:textId="77777777" w:rsidR="00240321" w:rsidRPr="00E500D6" w:rsidRDefault="00240321" w:rsidP="00753076">
            <w:pPr>
              <w:pStyle w:val="Table"/>
              <w:jc w:val="center"/>
              <w:rPr>
                <w:bCs/>
              </w:rPr>
            </w:pPr>
            <w:r w:rsidRPr="00E500D6">
              <w:rPr>
                <w:bCs/>
              </w:rPr>
              <w:t>-</w:t>
            </w:r>
          </w:p>
        </w:tc>
        <w:tc>
          <w:tcPr>
            <w:tcW w:w="2070" w:type="dxa"/>
            <w:tcBorders>
              <w:bottom w:val="single" w:sz="4" w:space="0" w:color="auto"/>
            </w:tcBorders>
            <w:vAlign w:val="center"/>
          </w:tcPr>
          <w:p w14:paraId="3AD1A7E2" w14:textId="77777777" w:rsidR="00240321" w:rsidRPr="00E500D6" w:rsidRDefault="00240321" w:rsidP="00753076">
            <w:pPr>
              <w:pStyle w:val="Table"/>
              <w:jc w:val="center"/>
              <w:rPr>
                <w:bCs/>
              </w:rPr>
            </w:pPr>
            <w:r w:rsidRPr="00E500D6">
              <w:rPr>
                <w:bCs/>
              </w:rPr>
              <w:t>-</w:t>
            </w:r>
          </w:p>
        </w:tc>
      </w:tr>
    </w:tbl>
    <w:p w14:paraId="7BCFD6FC" w14:textId="77777777" w:rsidR="00240321" w:rsidRPr="00E500D6" w:rsidRDefault="00240321" w:rsidP="00240321">
      <w:pPr>
        <w:pStyle w:val="Table"/>
        <w:rPr>
          <w:bCs/>
        </w:rPr>
      </w:pPr>
      <w:r w:rsidRPr="00E500D6">
        <w:rPr>
          <w:bCs/>
          <w:vertAlign w:val="superscript"/>
        </w:rPr>
        <w:t>a</w:t>
      </w:r>
      <w:r w:rsidRPr="00E500D6">
        <w:rPr>
          <w:bCs/>
        </w:rPr>
        <w:t xml:space="preserve"> </w:t>
      </w:r>
      <w:proofErr w:type="spellStart"/>
      <w:r w:rsidRPr="00E500D6">
        <w:rPr>
          <w:bCs/>
        </w:rPr>
        <w:t>declustering</w:t>
      </w:r>
      <w:proofErr w:type="spellEnd"/>
      <w:r w:rsidRPr="00E500D6">
        <w:rPr>
          <w:bCs/>
        </w:rPr>
        <w:t xml:space="preserve"> potential</w:t>
      </w:r>
    </w:p>
    <w:p w14:paraId="6F777BAD" w14:textId="77777777" w:rsidR="00240321" w:rsidRPr="00E500D6" w:rsidRDefault="00240321" w:rsidP="00240321">
      <w:pPr>
        <w:pStyle w:val="Table"/>
        <w:rPr>
          <w:bCs/>
        </w:rPr>
      </w:pPr>
      <w:r w:rsidRPr="00E500D6">
        <w:rPr>
          <w:bCs/>
          <w:vertAlign w:val="superscript"/>
        </w:rPr>
        <w:t>b</w:t>
      </w:r>
      <w:r w:rsidRPr="00E500D6">
        <w:rPr>
          <w:bCs/>
        </w:rPr>
        <w:t xml:space="preserve"> collision energy</w:t>
      </w:r>
    </w:p>
    <w:p w14:paraId="55D09F0C" w14:textId="77777777" w:rsidR="00240321" w:rsidRPr="00E500D6" w:rsidRDefault="00240321" w:rsidP="00240321">
      <w:pPr>
        <w:ind w:firstLine="0"/>
        <w:rPr>
          <w:vertAlign w:val="subscript"/>
        </w:rPr>
      </w:pPr>
      <w:r w:rsidRPr="00E500D6">
        <w:rPr>
          <w:bCs/>
          <w:vertAlign w:val="superscript"/>
        </w:rPr>
        <w:t>c</w:t>
      </w:r>
      <w:r w:rsidRPr="00E500D6">
        <w:rPr>
          <w:bCs/>
        </w:rPr>
        <w:t xml:space="preserve"> lower limit of quantification</w:t>
      </w:r>
    </w:p>
    <w:p w14:paraId="3F726B4C" w14:textId="77777777" w:rsidR="00240321" w:rsidRPr="00E500D6" w:rsidRDefault="00240321" w:rsidP="00240321">
      <w:pPr>
        <w:spacing w:after="160" w:line="259" w:lineRule="auto"/>
        <w:ind w:firstLine="0"/>
      </w:pPr>
      <w:r w:rsidRPr="00E500D6">
        <w:br w:type="page"/>
      </w:r>
    </w:p>
    <w:p w14:paraId="238B1795" w14:textId="236B667E" w:rsidR="00240321" w:rsidRPr="00E500D6" w:rsidRDefault="00240321" w:rsidP="00240321">
      <w:pPr>
        <w:ind w:firstLine="0"/>
        <w:rPr>
          <w:vertAlign w:val="subscript"/>
        </w:rPr>
      </w:pPr>
      <w:r w:rsidRPr="00E500D6">
        <w:rPr>
          <w:b/>
          <w:bCs/>
        </w:rPr>
        <w:lastRenderedPageBreak/>
        <w:t xml:space="preserve">Table </w:t>
      </w:r>
      <w:r w:rsidR="00DC418E" w:rsidRPr="00E500D6">
        <w:rPr>
          <w:b/>
          <w:bCs/>
        </w:rPr>
        <w:t>S</w:t>
      </w:r>
      <w:r w:rsidRPr="00E500D6">
        <w:rPr>
          <w:b/>
          <w:bCs/>
        </w:rPr>
        <w:t>2:</w:t>
      </w:r>
      <w:r w:rsidRPr="00E500D6">
        <w:t xml:space="preserve"> Retention time, precursor molecular ion/product ion for quantification and detection parameters for 25-dihydroxyvitamin D</w:t>
      </w:r>
      <w:r w:rsidRPr="00E500D6">
        <w:rPr>
          <w:vertAlign w:val="subscript"/>
        </w:rPr>
        <w:t>3</w:t>
      </w:r>
      <w:r w:rsidRPr="00E500D6">
        <w:t>-sulfate, 25-dihydroxyvitamin D</w:t>
      </w:r>
      <w:r w:rsidRPr="00E500D6">
        <w:rPr>
          <w:vertAlign w:val="subscript"/>
        </w:rPr>
        <w:t>3</w:t>
      </w:r>
      <w:r w:rsidRPr="00E500D6">
        <w:t>-glucuronide, and their internal standards</w:t>
      </w:r>
    </w:p>
    <w:tbl>
      <w:tblPr>
        <w:tblStyle w:val="TableGrid"/>
        <w:tblW w:w="125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800"/>
        <w:gridCol w:w="1620"/>
        <w:gridCol w:w="1440"/>
        <w:gridCol w:w="990"/>
        <w:gridCol w:w="990"/>
        <w:gridCol w:w="1530"/>
        <w:gridCol w:w="2070"/>
      </w:tblGrid>
      <w:tr w:rsidR="00240321" w:rsidRPr="00E500D6" w14:paraId="6C8B25D3" w14:textId="77777777" w:rsidTr="00753076">
        <w:trPr>
          <w:trHeight w:val="360"/>
          <w:jc w:val="center"/>
        </w:trPr>
        <w:tc>
          <w:tcPr>
            <w:tcW w:w="2070" w:type="dxa"/>
            <w:tcBorders>
              <w:top w:val="single" w:sz="8" w:space="0" w:color="auto"/>
              <w:bottom w:val="single" w:sz="8" w:space="0" w:color="auto"/>
            </w:tcBorders>
            <w:vAlign w:val="center"/>
          </w:tcPr>
          <w:p w14:paraId="2A1461DB" w14:textId="77777777" w:rsidR="00240321" w:rsidRPr="00E500D6" w:rsidRDefault="00240321" w:rsidP="00753076">
            <w:pPr>
              <w:pStyle w:val="Table"/>
              <w:rPr>
                <w:bCs/>
              </w:rPr>
            </w:pPr>
            <w:r w:rsidRPr="00E500D6">
              <w:rPr>
                <w:bCs/>
              </w:rPr>
              <w:t>Analyte</w:t>
            </w:r>
          </w:p>
        </w:tc>
        <w:tc>
          <w:tcPr>
            <w:tcW w:w="1800" w:type="dxa"/>
            <w:tcBorders>
              <w:top w:val="single" w:sz="8" w:space="0" w:color="auto"/>
              <w:bottom w:val="single" w:sz="8" w:space="0" w:color="auto"/>
            </w:tcBorders>
            <w:vAlign w:val="center"/>
          </w:tcPr>
          <w:p w14:paraId="6AFAE745" w14:textId="77777777" w:rsidR="00240321" w:rsidRPr="00E500D6" w:rsidRDefault="00240321" w:rsidP="00753076">
            <w:pPr>
              <w:pStyle w:val="Table"/>
              <w:jc w:val="center"/>
              <w:rPr>
                <w:bCs/>
              </w:rPr>
            </w:pPr>
            <w:r w:rsidRPr="00E500D6">
              <w:rPr>
                <w:bCs/>
              </w:rPr>
              <w:t>Retention Time</w:t>
            </w:r>
          </w:p>
          <w:p w14:paraId="368744AB" w14:textId="77777777" w:rsidR="00240321" w:rsidRPr="00E500D6" w:rsidRDefault="00240321" w:rsidP="00753076">
            <w:pPr>
              <w:pStyle w:val="Table"/>
              <w:jc w:val="center"/>
              <w:rPr>
                <w:bCs/>
              </w:rPr>
            </w:pPr>
            <w:r w:rsidRPr="00E500D6">
              <w:rPr>
                <w:bCs/>
              </w:rPr>
              <w:t>(min)</w:t>
            </w:r>
          </w:p>
        </w:tc>
        <w:tc>
          <w:tcPr>
            <w:tcW w:w="1620" w:type="dxa"/>
            <w:tcBorders>
              <w:top w:val="single" w:sz="8" w:space="0" w:color="auto"/>
              <w:bottom w:val="single" w:sz="8" w:space="0" w:color="auto"/>
            </w:tcBorders>
            <w:vAlign w:val="center"/>
          </w:tcPr>
          <w:p w14:paraId="7E621EAC" w14:textId="77777777" w:rsidR="00240321" w:rsidRPr="00E500D6" w:rsidRDefault="00240321" w:rsidP="00753076">
            <w:pPr>
              <w:pStyle w:val="Table"/>
              <w:jc w:val="center"/>
              <w:rPr>
                <w:bCs/>
              </w:rPr>
            </w:pPr>
            <w:r w:rsidRPr="00E500D6">
              <w:rPr>
                <w:bCs/>
              </w:rPr>
              <w:t>Precursor Ion</w:t>
            </w:r>
          </w:p>
        </w:tc>
        <w:tc>
          <w:tcPr>
            <w:tcW w:w="1440" w:type="dxa"/>
            <w:tcBorders>
              <w:top w:val="single" w:sz="8" w:space="0" w:color="auto"/>
              <w:bottom w:val="single" w:sz="8" w:space="0" w:color="auto"/>
            </w:tcBorders>
            <w:vAlign w:val="center"/>
          </w:tcPr>
          <w:p w14:paraId="153FA26D" w14:textId="77777777" w:rsidR="00240321" w:rsidRPr="00E500D6" w:rsidRDefault="00240321" w:rsidP="00753076">
            <w:pPr>
              <w:pStyle w:val="Table"/>
              <w:jc w:val="center"/>
              <w:rPr>
                <w:bCs/>
              </w:rPr>
            </w:pPr>
            <w:r w:rsidRPr="00E500D6">
              <w:rPr>
                <w:bCs/>
              </w:rPr>
              <w:t>Product Ion</w:t>
            </w:r>
          </w:p>
        </w:tc>
        <w:tc>
          <w:tcPr>
            <w:tcW w:w="990" w:type="dxa"/>
            <w:tcBorders>
              <w:top w:val="single" w:sz="8" w:space="0" w:color="auto"/>
              <w:bottom w:val="single" w:sz="8" w:space="0" w:color="auto"/>
            </w:tcBorders>
            <w:vAlign w:val="center"/>
          </w:tcPr>
          <w:p w14:paraId="4546DF7A" w14:textId="77777777" w:rsidR="00240321" w:rsidRPr="00E500D6" w:rsidRDefault="00240321" w:rsidP="00753076">
            <w:pPr>
              <w:pStyle w:val="Table"/>
              <w:jc w:val="center"/>
              <w:rPr>
                <w:bCs/>
              </w:rPr>
            </w:pPr>
            <w:proofErr w:type="spellStart"/>
            <w:r w:rsidRPr="00E500D6">
              <w:rPr>
                <w:bCs/>
              </w:rPr>
              <w:t>DP</w:t>
            </w:r>
            <w:r w:rsidRPr="00E500D6">
              <w:rPr>
                <w:bCs/>
                <w:vertAlign w:val="superscript"/>
              </w:rPr>
              <w:t>a</w:t>
            </w:r>
            <w:proofErr w:type="spellEnd"/>
          </w:p>
          <w:p w14:paraId="4AF827C8" w14:textId="77777777" w:rsidR="00240321" w:rsidRPr="00E500D6" w:rsidRDefault="00240321" w:rsidP="00753076">
            <w:pPr>
              <w:pStyle w:val="Table"/>
              <w:jc w:val="center"/>
              <w:rPr>
                <w:bCs/>
              </w:rPr>
            </w:pPr>
            <w:r w:rsidRPr="00E500D6">
              <w:rPr>
                <w:bCs/>
              </w:rPr>
              <w:t>(V)</w:t>
            </w:r>
          </w:p>
        </w:tc>
        <w:tc>
          <w:tcPr>
            <w:tcW w:w="990" w:type="dxa"/>
            <w:tcBorders>
              <w:top w:val="single" w:sz="8" w:space="0" w:color="auto"/>
              <w:bottom w:val="single" w:sz="8" w:space="0" w:color="auto"/>
            </w:tcBorders>
            <w:vAlign w:val="center"/>
          </w:tcPr>
          <w:p w14:paraId="2D1B030B" w14:textId="77777777" w:rsidR="00240321" w:rsidRPr="00E500D6" w:rsidRDefault="00240321" w:rsidP="00753076">
            <w:pPr>
              <w:pStyle w:val="Table"/>
              <w:jc w:val="center"/>
              <w:rPr>
                <w:bCs/>
              </w:rPr>
            </w:pPr>
            <w:proofErr w:type="spellStart"/>
            <w:r w:rsidRPr="00E500D6">
              <w:rPr>
                <w:bCs/>
              </w:rPr>
              <w:t>CE</w:t>
            </w:r>
            <w:r w:rsidRPr="00E500D6">
              <w:rPr>
                <w:bCs/>
                <w:vertAlign w:val="superscript"/>
              </w:rPr>
              <w:t>b</w:t>
            </w:r>
            <w:proofErr w:type="spellEnd"/>
          </w:p>
          <w:p w14:paraId="0050793E" w14:textId="77777777" w:rsidR="00240321" w:rsidRPr="00E500D6" w:rsidRDefault="00240321" w:rsidP="00753076">
            <w:pPr>
              <w:pStyle w:val="Table"/>
              <w:jc w:val="center"/>
              <w:rPr>
                <w:bCs/>
              </w:rPr>
            </w:pPr>
            <w:r w:rsidRPr="00E500D6">
              <w:rPr>
                <w:bCs/>
              </w:rPr>
              <w:t>(V)</w:t>
            </w:r>
          </w:p>
        </w:tc>
        <w:tc>
          <w:tcPr>
            <w:tcW w:w="1530" w:type="dxa"/>
            <w:tcBorders>
              <w:top w:val="single" w:sz="8" w:space="0" w:color="auto"/>
              <w:bottom w:val="single" w:sz="8" w:space="0" w:color="auto"/>
            </w:tcBorders>
            <w:vAlign w:val="center"/>
          </w:tcPr>
          <w:p w14:paraId="2A47F480" w14:textId="77777777" w:rsidR="00240321" w:rsidRPr="00E500D6" w:rsidRDefault="00240321" w:rsidP="00753076">
            <w:pPr>
              <w:pStyle w:val="Table"/>
              <w:jc w:val="center"/>
              <w:rPr>
                <w:bCs/>
                <w:vertAlign w:val="superscript"/>
              </w:rPr>
            </w:pPr>
            <w:proofErr w:type="spellStart"/>
            <w:r w:rsidRPr="00E500D6">
              <w:rPr>
                <w:bCs/>
              </w:rPr>
              <w:t>LLOQ</w:t>
            </w:r>
            <w:r w:rsidRPr="00E500D6">
              <w:rPr>
                <w:bCs/>
                <w:vertAlign w:val="superscript"/>
              </w:rPr>
              <w:t>c</w:t>
            </w:r>
            <w:proofErr w:type="spellEnd"/>
          </w:p>
          <w:p w14:paraId="257B9617" w14:textId="77777777" w:rsidR="00240321" w:rsidRPr="00E500D6" w:rsidRDefault="00240321" w:rsidP="00753076">
            <w:pPr>
              <w:pStyle w:val="Table"/>
              <w:jc w:val="center"/>
              <w:rPr>
                <w:bCs/>
              </w:rPr>
            </w:pPr>
            <w:r w:rsidRPr="00E500D6">
              <w:rPr>
                <w:bCs/>
              </w:rPr>
              <w:t>(ng/mL)</w:t>
            </w:r>
          </w:p>
        </w:tc>
        <w:tc>
          <w:tcPr>
            <w:tcW w:w="2070" w:type="dxa"/>
            <w:tcBorders>
              <w:top w:val="single" w:sz="8" w:space="0" w:color="auto"/>
              <w:bottom w:val="single" w:sz="8" w:space="0" w:color="auto"/>
            </w:tcBorders>
            <w:vAlign w:val="center"/>
          </w:tcPr>
          <w:p w14:paraId="1139AC14" w14:textId="77777777" w:rsidR="00240321" w:rsidRPr="00E500D6" w:rsidRDefault="00240321" w:rsidP="00753076">
            <w:pPr>
              <w:pStyle w:val="Table"/>
              <w:jc w:val="center"/>
              <w:rPr>
                <w:bCs/>
              </w:rPr>
            </w:pPr>
            <w:r w:rsidRPr="00E500D6">
              <w:rPr>
                <w:bCs/>
              </w:rPr>
              <w:t>Standard Curve Range (ng/mL)</w:t>
            </w:r>
          </w:p>
        </w:tc>
      </w:tr>
      <w:tr w:rsidR="00240321" w:rsidRPr="00E500D6" w14:paraId="3EA901B1" w14:textId="77777777" w:rsidTr="00753076">
        <w:trPr>
          <w:trHeight w:val="360"/>
          <w:jc w:val="center"/>
        </w:trPr>
        <w:tc>
          <w:tcPr>
            <w:tcW w:w="2070" w:type="dxa"/>
            <w:vAlign w:val="center"/>
          </w:tcPr>
          <w:p w14:paraId="3136F016" w14:textId="77777777" w:rsidR="00240321" w:rsidRPr="00E500D6" w:rsidRDefault="00240321" w:rsidP="00753076">
            <w:pPr>
              <w:pStyle w:val="Table"/>
              <w:rPr>
                <w:bCs/>
                <w:i/>
              </w:rPr>
            </w:pPr>
            <w:r w:rsidRPr="00E500D6">
              <w:rPr>
                <w:bCs/>
              </w:rPr>
              <w:t>25(OH)D</w:t>
            </w:r>
            <w:r w:rsidRPr="00E500D6">
              <w:rPr>
                <w:bCs/>
                <w:vertAlign w:val="subscript"/>
              </w:rPr>
              <w:t>3</w:t>
            </w:r>
            <w:r w:rsidRPr="00E500D6">
              <w:rPr>
                <w:bCs/>
              </w:rPr>
              <w:t>-S</w:t>
            </w:r>
          </w:p>
        </w:tc>
        <w:tc>
          <w:tcPr>
            <w:tcW w:w="1800" w:type="dxa"/>
            <w:vAlign w:val="center"/>
          </w:tcPr>
          <w:p w14:paraId="23A54D24" w14:textId="77777777" w:rsidR="00240321" w:rsidRPr="00E500D6" w:rsidRDefault="00240321" w:rsidP="00753076">
            <w:pPr>
              <w:pStyle w:val="Table"/>
              <w:jc w:val="center"/>
              <w:rPr>
                <w:bCs/>
              </w:rPr>
            </w:pPr>
            <w:r w:rsidRPr="00E500D6">
              <w:rPr>
                <w:bCs/>
              </w:rPr>
              <w:t>10.78</w:t>
            </w:r>
          </w:p>
        </w:tc>
        <w:tc>
          <w:tcPr>
            <w:tcW w:w="1620" w:type="dxa"/>
            <w:vAlign w:val="center"/>
          </w:tcPr>
          <w:p w14:paraId="178D2D0E" w14:textId="77777777" w:rsidR="00240321" w:rsidRPr="00E500D6" w:rsidRDefault="00240321" w:rsidP="00753076">
            <w:pPr>
              <w:pStyle w:val="Table"/>
              <w:jc w:val="center"/>
              <w:rPr>
                <w:bCs/>
              </w:rPr>
            </w:pPr>
            <w:r w:rsidRPr="00E500D6">
              <w:rPr>
                <w:bCs/>
              </w:rPr>
              <w:t>699.5</w:t>
            </w:r>
          </w:p>
        </w:tc>
        <w:tc>
          <w:tcPr>
            <w:tcW w:w="1440" w:type="dxa"/>
            <w:vAlign w:val="center"/>
          </w:tcPr>
          <w:p w14:paraId="1E0636CC" w14:textId="77777777" w:rsidR="00240321" w:rsidRPr="00E500D6" w:rsidRDefault="00240321" w:rsidP="00753076">
            <w:pPr>
              <w:pStyle w:val="Table"/>
              <w:jc w:val="center"/>
              <w:rPr>
                <w:bCs/>
              </w:rPr>
            </w:pPr>
            <w:r w:rsidRPr="00E500D6">
              <w:rPr>
                <w:bCs/>
              </w:rPr>
              <w:t>323.0</w:t>
            </w:r>
          </w:p>
        </w:tc>
        <w:tc>
          <w:tcPr>
            <w:tcW w:w="990" w:type="dxa"/>
            <w:vAlign w:val="center"/>
          </w:tcPr>
          <w:p w14:paraId="6F70F93D" w14:textId="77777777" w:rsidR="00240321" w:rsidRPr="00E500D6" w:rsidRDefault="00240321" w:rsidP="00753076">
            <w:pPr>
              <w:pStyle w:val="Table"/>
              <w:jc w:val="center"/>
              <w:rPr>
                <w:bCs/>
              </w:rPr>
            </w:pPr>
            <w:r w:rsidRPr="00E500D6">
              <w:rPr>
                <w:bCs/>
              </w:rPr>
              <w:t>100</w:t>
            </w:r>
          </w:p>
        </w:tc>
        <w:tc>
          <w:tcPr>
            <w:tcW w:w="990" w:type="dxa"/>
            <w:vAlign w:val="center"/>
          </w:tcPr>
          <w:p w14:paraId="5C167DCA" w14:textId="77777777" w:rsidR="00240321" w:rsidRPr="00E500D6" w:rsidRDefault="00240321" w:rsidP="00753076">
            <w:pPr>
              <w:pStyle w:val="Table"/>
              <w:jc w:val="center"/>
              <w:rPr>
                <w:bCs/>
              </w:rPr>
            </w:pPr>
            <w:r w:rsidRPr="00E500D6">
              <w:rPr>
                <w:bCs/>
              </w:rPr>
              <w:t>45</w:t>
            </w:r>
          </w:p>
        </w:tc>
        <w:tc>
          <w:tcPr>
            <w:tcW w:w="1530" w:type="dxa"/>
            <w:vAlign w:val="center"/>
          </w:tcPr>
          <w:p w14:paraId="65E4861F" w14:textId="77777777" w:rsidR="00240321" w:rsidRPr="00E500D6" w:rsidRDefault="00240321" w:rsidP="00753076">
            <w:pPr>
              <w:pStyle w:val="Table"/>
              <w:jc w:val="center"/>
              <w:rPr>
                <w:bCs/>
              </w:rPr>
            </w:pPr>
            <w:r w:rsidRPr="00E500D6">
              <w:rPr>
                <w:bCs/>
              </w:rPr>
              <w:t>0.5</w:t>
            </w:r>
          </w:p>
        </w:tc>
        <w:tc>
          <w:tcPr>
            <w:tcW w:w="2070" w:type="dxa"/>
            <w:vAlign w:val="center"/>
          </w:tcPr>
          <w:p w14:paraId="0AFA4801" w14:textId="77777777" w:rsidR="00240321" w:rsidRPr="00E500D6" w:rsidRDefault="00240321" w:rsidP="00753076">
            <w:pPr>
              <w:pStyle w:val="Table"/>
              <w:jc w:val="center"/>
              <w:rPr>
                <w:bCs/>
              </w:rPr>
            </w:pPr>
            <w:r w:rsidRPr="00E500D6">
              <w:rPr>
                <w:bCs/>
              </w:rPr>
              <w:t>2.4 – 96</w:t>
            </w:r>
          </w:p>
        </w:tc>
      </w:tr>
      <w:tr w:rsidR="00240321" w:rsidRPr="00E500D6" w14:paraId="2798E9CF" w14:textId="77777777" w:rsidTr="00753076">
        <w:trPr>
          <w:trHeight w:val="360"/>
          <w:jc w:val="center"/>
        </w:trPr>
        <w:tc>
          <w:tcPr>
            <w:tcW w:w="2070" w:type="dxa"/>
            <w:vAlign w:val="center"/>
          </w:tcPr>
          <w:p w14:paraId="74B2A708" w14:textId="77777777" w:rsidR="00240321" w:rsidRPr="00E500D6" w:rsidRDefault="00240321" w:rsidP="00753076">
            <w:pPr>
              <w:pStyle w:val="Table"/>
              <w:rPr>
                <w:bCs/>
                <w:i/>
              </w:rPr>
            </w:pPr>
            <w:r w:rsidRPr="00E500D6">
              <w:rPr>
                <w:bCs/>
                <w:i/>
              </w:rPr>
              <w:t>d</w:t>
            </w:r>
            <w:r w:rsidRPr="00E500D6">
              <w:rPr>
                <w:bCs/>
                <w:i/>
                <w:vertAlign w:val="subscript"/>
              </w:rPr>
              <w:t>6</w:t>
            </w:r>
            <w:r w:rsidRPr="00E500D6">
              <w:rPr>
                <w:bCs/>
                <w:i/>
              </w:rPr>
              <w:t>-</w:t>
            </w:r>
            <w:r w:rsidRPr="00E500D6">
              <w:rPr>
                <w:bCs/>
              </w:rPr>
              <w:t>25(OH)D</w:t>
            </w:r>
            <w:r w:rsidRPr="00E500D6">
              <w:rPr>
                <w:bCs/>
                <w:vertAlign w:val="subscript"/>
              </w:rPr>
              <w:t>3</w:t>
            </w:r>
            <w:r w:rsidRPr="00E500D6">
              <w:rPr>
                <w:bCs/>
              </w:rPr>
              <w:t>-S</w:t>
            </w:r>
          </w:p>
        </w:tc>
        <w:tc>
          <w:tcPr>
            <w:tcW w:w="1800" w:type="dxa"/>
            <w:vAlign w:val="center"/>
          </w:tcPr>
          <w:p w14:paraId="04BEE5E8" w14:textId="77777777" w:rsidR="00240321" w:rsidRPr="00E500D6" w:rsidRDefault="00240321" w:rsidP="00753076">
            <w:pPr>
              <w:pStyle w:val="Table"/>
              <w:jc w:val="center"/>
              <w:rPr>
                <w:bCs/>
              </w:rPr>
            </w:pPr>
            <w:r w:rsidRPr="00E500D6">
              <w:rPr>
                <w:bCs/>
              </w:rPr>
              <w:t>10.72</w:t>
            </w:r>
          </w:p>
        </w:tc>
        <w:tc>
          <w:tcPr>
            <w:tcW w:w="1620" w:type="dxa"/>
            <w:vAlign w:val="center"/>
          </w:tcPr>
          <w:p w14:paraId="2A869C78" w14:textId="77777777" w:rsidR="00240321" w:rsidRPr="00E500D6" w:rsidRDefault="00240321" w:rsidP="00753076">
            <w:pPr>
              <w:pStyle w:val="Table"/>
              <w:jc w:val="center"/>
              <w:rPr>
                <w:bCs/>
              </w:rPr>
            </w:pPr>
            <w:r w:rsidRPr="00E500D6">
              <w:rPr>
                <w:bCs/>
              </w:rPr>
              <w:t>705.5</w:t>
            </w:r>
          </w:p>
        </w:tc>
        <w:tc>
          <w:tcPr>
            <w:tcW w:w="1440" w:type="dxa"/>
            <w:vAlign w:val="center"/>
          </w:tcPr>
          <w:p w14:paraId="092D815D" w14:textId="77777777" w:rsidR="00240321" w:rsidRPr="00E500D6" w:rsidRDefault="00240321" w:rsidP="00753076">
            <w:pPr>
              <w:pStyle w:val="Table"/>
              <w:jc w:val="center"/>
              <w:rPr>
                <w:bCs/>
              </w:rPr>
            </w:pPr>
            <w:r w:rsidRPr="00E500D6">
              <w:rPr>
                <w:bCs/>
              </w:rPr>
              <w:t>323.0</w:t>
            </w:r>
          </w:p>
        </w:tc>
        <w:tc>
          <w:tcPr>
            <w:tcW w:w="990" w:type="dxa"/>
            <w:vAlign w:val="center"/>
          </w:tcPr>
          <w:p w14:paraId="31C87120" w14:textId="77777777" w:rsidR="00240321" w:rsidRPr="00E500D6" w:rsidRDefault="00240321" w:rsidP="00753076">
            <w:pPr>
              <w:pStyle w:val="Table"/>
              <w:jc w:val="center"/>
              <w:rPr>
                <w:bCs/>
              </w:rPr>
            </w:pPr>
            <w:r w:rsidRPr="00E500D6">
              <w:rPr>
                <w:bCs/>
              </w:rPr>
              <w:t>100</w:t>
            </w:r>
          </w:p>
        </w:tc>
        <w:tc>
          <w:tcPr>
            <w:tcW w:w="990" w:type="dxa"/>
            <w:vAlign w:val="center"/>
          </w:tcPr>
          <w:p w14:paraId="71A8B622" w14:textId="77777777" w:rsidR="00240321" w:rsidRPr="00E500D6" w:rsidRDefault="00240321" w:rsidP="00753076">
            <w:pPr>
              <w:pStyle w:val="Table"/>
              <w:jc w:val="center"/>
              <w:rPr>
                <w:bCs/>
              </w:rPr>
            </w:pPr>
            <w:r w:rsidRPr="00E500D6">
              <w:rPr>
                <w:bCs/>
              </w:rPr>
              <w:t>45</w:t>
            </w:r>
          </w:p>
        </w:tc>
        <w:tc>
          <w:tcPr>
            <w:tcW w:w="1530" w:type="dxa"/>
            <w:vAlign w:val="center"/>
          </w:tcPr>
          <w:p w14:paraId="70602A90" w14:textId="77777777" w:rsidR="00240321" w:rsidRPr="00E500D6" w:rsidRDefault="00240321" w:rsidP="00753076">
            <w:pPr>
              <w:pStyle w:val="Table"/>
              <w:jc w:val="center"/>
              <w:rPr>
                <w:bCs/>
              </w:rPr>
            </w:pPr>
            <w:r w:rsidRPr="00E500D6">
              <w:rPr>
                <w:bCs/>
              </w:rPr>
              <w:t>-</w:t>
            </w:r>
          </w:p>
        </w:tc>
        <w:tc>
          <w:tcPr>
            <w:tcW w:w="2070" w:type="dxa"/>
            <w:vAlign w:val="center"/>
          </w:tcPr>
          <w:p w14:paraId="344DCC07" w14:textId="77777777" w:rsidR="00240321" w:rsidRPr="00E500D6" w:rsidRDefault="00240321" w:rsidP="00753076">
            <w:pPr>
              <w:pStyle w:val="Table"/>
              <w:jc w:val="center"/>
              <w:rPr>
                <w:bCs/>
              </w:rPr>
            </w:pPr>
            <w:r w:rsidRPr="00E500D6">
              <w:rPr>
                <w:bCs/>
              </w:rPr>
              <w:t>-</w:t>
            </w:r>
          </w:p>
        </w:tc>
      </w:tr>
      <w:tr w:rsidR="00240321" w:rsidRPr="00E500D6" w14:paraId="27FA69E9" w14:textId="77777777" w:rsidTr="00753076">
        <w:trPr>
          <w:trHeight w:val="360"/>
          <w:jc w:val="center"/>
        </w:trPr>
        <w:tc>
          <w:tcPr>
            <w:tcW w:w="2070" w:type="dxa"/>
            <w:vAlign w:val="center"/>
          </w:tcPr>
          <w:p w14:paraId="304E65B2" w14:textId="77777777" w:rsidR="00240321" w:rsidRPr="00E500D6" w:rsidRDefault="00240321" w:rsidP="00753076">
            <w:pPr>
              <w:pStyle w:val="Table"/>
              <w:rPr>
                <w:bCs/>
                <w:i/>
              </w:rPr>
            </w:pPr>
            <w:r w:rsidRPr="00E500D6">
              <w:rPr>
                <w:bCs/>
              </w:rPr>
              <w:t>25(OH)D</w:t>
            </w:r>
            <w:r w:rsidRPr="00E500D6">
              <w:rPr>
                <w:bCs/>
                <w:vertAlign w:val="subscript"/>
              </w:rPr>
              <w:t>3</w:t>
            </w:r>
            <w:r w:rsidRPr="00E500D6">
              <w:rPr>
                <w:bCs/>
              </w:rPr>
              <w:t>-G</w:t>
            </w:r>
          </w:p>
        </w:tc>
        <w:tc>
          <w:tcPr>
            <w:tcW w:w="1800" w:type="dxa"/>
            <w:vAlign w:val="center"/>
          </w:tcPr>
          <w:p w14:paraId="4AA019AE" w14:textId="77777777" w:rsidR="00240321" w:rsidRPr="00E500D6" w:rsidRDefault="00240321" w:rsidP="00753076">
            <w:pPr>
              <w:pStyle w:val="Table"/>
              <w:jc w:val="center"/>
              <w:rPr>
                <w:bCs/>
              </w:rPr>
            </w:pPr>
            <w:r w:rsidRPr="00E500D6">
              <w:rPr>
                <w:bCs/>
              </w:rPr>
              <w:t>9.59</w:t>
            </w:r>
          </w:p>
        </w:tc>
        <w:tc>
          <w:tcPr>
            <w:tcW w:w="1620" w:type="dxa"/>
            <w:vAlign w:val="center"/>
          </w:tcPr>
          <w:p w14:paraId="7B061501" w14:textId="77777777" w:rsidR="00240321" w:rsidRPr="00E500D6" w:rsidRDefault="00240321" w:rsidP="00753076">
            <w:pPr>
              <w:pStyle w:val="Table"/>
              <w:jc w:val="center"/>
              <w:rPr>
                <w:bCs/>
              </w:rPr>
            </w:pPr>
            <w:r w:rsidRPr="00E500D6">
              <w:rPr>
                <w:bCs/>
              </w:rPr>
              <w:t>795.5</w:t>
            </w:r>
          </w:p>
        </w:tc>
        <w:tc>
          <w:tcPr>
            <w:tcW w:w="1440" w:type="dxa"/>
            <w:vAlign w:val="center"/>
          </w:tcPr>
          <w:p w14:paraId="3360BDAD" w14:textId="77777777" w:rsidR="00240321" w:rsidRPr="00E500D6" w:rsidRDefault="00240321" w:rsidP="00753076">
            <w:pPr>
              <w:pStyle w:val="Table"/>
              <w:jc w:val="center"/>
              <w:rPr>
                <w:bCs/>
              </w:rPr>
            </w:pPr>
            <w:r w:rsidRPr="00E500D6">
              <w:rPr>
                <w:bCs/>
              </w:rPr>
              <w:t>341.1</w:t>
            </w:r>
          </w:p>
        </w:tc>
        <w:tc>
          <w:tcPr>
            <w:tcW w:w="990" w:type="dxa"/>
            <w:vAlign w:val="center"/>
          </w:tcPr>
          <w:p w14:paraId="2159687F" w14:textId="77777777" w:rsidR="00240321" w:rsidRPr="00E500D6" w:rsidRDefault="00240321" w:rsidP="00753076">
            <w:pPr>
              <w:pStyle w:val="Table"/>
              <w:jc w:val="center"/>
              <w:rPr>
                <w:bCs/>
              </w:rPr>
            </w:pPr>
            <w:r w:rsidRPr="00E500D6">
              <w:rPr>
                <w:bCs/>
              </w:rPr>
              <w:t>100</w:t>
            </w:r>
          </w:p>
        </w:tc>
        <w:tc>
          <w:tcPr>
            <w:tcW w:w="990" w:type="dxa"/>
            <w:vAlign w:val="center"/>
          </w:tcPr>
          <w:p w14:paraId="7E0A9105" w14:textId="77777777" w:rsidR="00240321" w:rsidRPr="00E500D6" w:rsidRDefault="00240321" w:rsidP="00753076">
            <w:pPr>
              <w:pStyle w:val="Table"/>
              <w:jc w:val="center"/>
              <w:rPr>
                <w:bCs/>
              </w:rPr>
            </w:pPr>
            <w:r w:rsidRPr="00E500D6">
              <w:rPr>
                <w:bCs/>
              </w:rPr>
              <w:t>42.5</w:t>
            </w:r>
          </w:p>
        </w:tc>
        <w:tc>
          <w:tcPr>
            <w:tcW w:w="1530" w:type="dxa"/>
            <w:vAlign w:val="center"/>
          </w:tcPr>
          <w:p w14:paraId="766A788E" w14:textId="77777777" w:rsidR="00240321" w:rsidRPr="00E500D6" w:rsidRDefault="00240321" w:rsidP="00753076">
            <w:pPr>
              <w:pStyle w:val="Table"/>
              <w:jc w:val="center"/>
              <w:rPr>
                <w:bCs/>
              </w:rPr>
            </w:pPr>
            <w:r w:rsidRPr="00E500D6">
              <w:rPr>
                <w:bCs/>
              </w:rPr>
              <w:t>0.2</w:t>
            </w:r>
          </w:p>
        </w:tc>
        <w:tc>
          <w:tcPr>
            <w:tcW w:w="2070" w:type="dxa"/>
            <w:vAlign w:val="center"/>
          </w:tcPr>
          <w:p w14:paraId="6D9FD6A5" w14:textId="77777777" w:rsidR="00240321" w:rsidRPr="00E500D6" w:rsidRDefault="00240321" w:rsidP="00753076">
            <w:pPr>
              <w:pStyle w:val="Table"/>
              <w:jc w:val="center"/>
              <w:rPr>
                <w:bCs/>
              </w:rPr>
            </w:pPr>
            <w:r w:rsidRPr="00E500D6">
              <w:rPr>
                <w:bCs/>
              </w:rPr>
              <w:t>0.3 – 11.5</w:t>
            </w:r>
          </w:p>
        </w:tc>
      </w:tr>
      <w:tr w:rsidR="00240321" w:rsidRPr="00E500D6" w14:paraId="6855FA15" w14:textId="77777777" w:rsidTr="00753076">
        <w:trPr>
          <w:trHeight w:val="360"/>
          <w:jc w:val="center"/>
        </w:trPr>
        <w:tc>
          <w:tcPr>
            <w:tcW w:w="2070" w:type="dxa"/>
            <w:tcBorders>
              <w:bottom w:val="single" w:sz="6" w:space="0" w:color="auto"/>
            </w:tcBorders>
            <w:vAlign w:val="center"/>
          </w:tcPr>
          <w:p w14:paraId="4CBDCDC2" w14:textId="77777777" w:rsidR="00240321" w:rsidRPr="00E500D6" w:rsidRDefault="00240321" w:rsidP="00753076">
            <w:pPr>
              <w:pStyle w:val="Table"/>
              <w:rPr>
                <w:bCs/>
                <w:i/>
              </w:rPr>
            </w:pPr>
            <w:r w:rsidRPr="00E500D6">
              <w:rPr>
                <w:bCs/>
                <w:i/>
              </w:rPr>
              <w:t>d</w:t>
            </w:r>
            <w:r w:rsidRPr="00E500D6">
              <w:rPr>
                <w:bCs/>
                <w:i/>
                <w:vertAlign w:val="subscript"/>
              </w:rPr>
              <w:t>6</w:t>
            </w:r>
            <w:r w:rsidRPr="00E500D6">
              <w:rPr>
                <w:bCs/>
                <w:i/>
              </w:rPr>
              <w:t>-</w:t>
            </w:r>
            <w:r w:rsidRPr="00E500D6">
              <w:rPr>
                <w:bCs/>
              </w:rPr>
              <w:t>25(OH)D</w:t>
            </w:r>
            <w:r w:rsidRPr="00E500D6">
              <w:rPr>
                <w:bCs/>
                <w:vertAlign w:val="subscript"/>
              </w:rPr>
              <w:t>3</w:t>
            </w:r>
            <w:r w:rsidRPr="00E500D6">
              <w:rPr>
                <w:bCs/>
              </w:rPr>
              <w:t>-G</w:t>
            </w:r>
          </w:p>
        </w:tc>
        <w:tc>
          <w:tcPr>
            <w:tcW w:w="1800" w:type="dxa"/>
            <w:tcBorders>
              <w:bottom w:val="single" w:sz="6" w:space="0" w:color="auto"/>
            </w:tcBorders>
            <w:vAlign w:val="center"/>
          </w:tcPr>
          <w:p w14:paraId="288B7B92" w14:textId="77777777" w:rsidR="00240321" w:rsidRPr="00E500D6" w:rsidRDefault="00240321" w:rsidP="00753076">
            <w:pPr>
              <w:pStyle w:val="Table"/>
              <w:jc w:val="center"/>
              <w:rPr>
                <w:bCs/>
              </w:rPr>
            </w:pPr>
            <w:r w:rsidRPr="00E500D6">
              <w:rPr>
                <w:bCs/>
              </w:rPr>
              <w:t>9.56</w:t>
            </w:r>
          </w:p>
        </w:tc>
        <w:tc>
          <w:tcPr>
            <w:tcW w:w="1620" w:type="dxa"/>
            <w:tcBorders>
              <w:bottom w:val="single" w:sz="6" w:space="0" w:color="auto"/>
            </w:tcBorders>
            <w:vAlign w:val="center"/>
          </w:tcPr>
          <w:p w14:paraId="0A105FB1" w14:textId="77777777" w:rsidR="00240321" w:rsidRPr="00E500D6" w:rsidRDefault="00240321" w:rsidP="00753076">
            <w:pPr>
              <w:pStyle w:val="Table"/>
              <w:jc w:val="center"/>
              <w:rPr>
                <w:bCs/>
              </w:rPr>
            </w:pPr>
            <w:r w:rsidRPr="00E500D6">
              <w:rPr>
                <w:bCs/>
              </w:rPr>
              <w:t>801.5</w:t>
            </w:r>
          </w:p>
        </w:tc>
        <w:tc>
          <w:tcPr>
            <w:tcW w:w="1440" w:type="dxa"/>
            <w:tcBorders>
              <w:bottom w:val="single" w:sz="6" w:space="0" w:color="auto"/>
            </w:tcBorders>
            <w:vAlign w:val="center"/>
          </w:tcPr>
          <w:p w14:paraId="3133C000" w14:textId="77777777" w:rsidR="00240321" w:rsidRPr="00E500D6" w:rsidRDefault="00240321" w:rsidP="00753076">
            <w:pPr>
              <w:pStyle w:val="Table"/>
              <w:jc w:val="center"/>
              <w:rPr>
                <w:bCs/>
              </w:rPr>
            </w:pPr>
            <w:r w:rsidRPr="00E500D6">
              <w:rPr>
                <w:bCs/>
              </w:rPr>
              <w:t>341.1</w:t>
            </w:r>
          </w:p>
        </w:tc>
        <w:tc>
          <w:tcPr>
            <w:tcW w:w="990" w:type="dxa"/>
            <w:tcBorders>
              <w:bottom w:val="single" w:sz="6" w:space="0" w:color="auto"/>
            </w:tcBorders>
            <w:vAlign w:val="center"/>
          </w:tcPr>
          <w:p w14:paraId="29598A68" w14:textId="77777777" w:rsidR="00240321" w:rsidRPr="00E500D6" w:rsidRDefault="00240321" w:rsidP="00753076">
            <w:pPr>
              <w:pStyle w:val="Table"/>
              <w:jc w:val="center"/>
              <w:rPr>
                <w:bCs/>
              </w:rPr>
            </w:pPr>
            <w:r w:rsidRPr="00E500D6">
              <w:rPr>
                <w:bCs/>
              </w:rPr>
              <w:t>100</w:t>
            </w:r>
          </w:p>
        </w:tc>
        <w:tc>
          <w:tcPr>
            <w:tcW w:w="990" w:type="dxa"/>
            <w:tcBorders>
              <w:bottom w:val="single" w:sz="6" w:space="0" w:color="auto"/>
            </w:tcBorders>
            <w:vAlign w:val="center"/>
          </w:tcPr>
          <w:p w14:paraId="6B1F796B" w14:textId="77777777" w:rsidR="00240321" w:rsidRPr="00E500D6" w:rsidRDefault="00240321" w:rsidP="00753076">
            <w:pPr>
              <w:pStyle w:val="Table"/>
              <w:jc w:val="center"/>
              <w:rPr>
                <w:bCs/>
              </w:rPr>
            </w:pPr>
            <w:r w:rsidRPr="00E500D6">
              <w:rPr>
                <w:bCs/>
              </w:rPr>
              <w:t>42.5</w:t>
            </w:r>
          </w:p>
        </w:tc>
        <w:tc>
          <w:tcPr>
            <w:tcW w:w="1530" w:type="dxa"/>
            <w:tcBorders>
              <w:bottom w:val="single" w:sz="6" w:space="0" w:color="auto"/>
            </w:tcBorders>
            <w:vAlign w:val="center"/>
          </w:tcPr>
          <w:p w14:paraId="3181DC35" w14:textId="77777777" w:rsidR="00240321" w:rsidRPr="00E500D6" w:rsidRDefault="00240321" w:rsidP="00753076">
            <w:pPr>
              <w:pStyle w:val="Table"/>
              <w:jc w:val="center"/>
              <w:rPr>
                <w:bCs/>
              </w:rPr>
            </w:pPr>
            <w:r w:rsidRPr="00E500D6">
              <w:rPr>
                <w:bCs/>
              </w:rPr>
              <w:t>-</w:t>
            </w:r>
          </w:p>
        </w:tc>
        <w:tc>
          <w:tcPr>
            <w:tcW w:w="2070" w:type="dxa"/>
            <w:tcBorders>
              <w:bottom w:val="single" w:sz="6" w:space="0" w:color="auto"/>
            </w:tcBorders>
            <w:vAlign w:val="center"/>
          </w:tcPr>
          <w:p w14:paraId="5DE9AB1A" w14:textId="77777777" w:rsidR="00240321" w:rsidRPr="00E500D6" w:rsidRDefault="00240321" w:rsidP="00753076">
            <w:pPr>
              <w:pStyle w:val="Table"/>
              <w:jc w:val="center"/>
              <w:rPr>
                <w:bCs/>
              </w:rPr>
            </w:pPr>
            <w:r w:rsidRPr="00E500D6">
              <w:rPr>
                <w:bCs/>
              </w:rPr>
              <w:t>-</w:t>
            </w:r>
          </w:p>
        </w:tc>
      </w:tr>
    </w:tbl>
    <w:p w14:paraId="4567D836" w14:textId="77777777" w:rsidR="00240321" w:rsidRPr="00E500D6" w:rsidRDefault="00240321" w:rsidP="00240321">
      <w:pPr>
        <w:pStyle w:val="Table"/>
        <w:rPr>
          <w:bCs/>
        </w:rPr>
      </w:pPr>
      <w:r w:rsidRPr="00E500D6">
        <w:rPr>
          <w:bCs/>
          <w:vertAlign w:val="superscript"/>
        </w:rPr>
        <w:t>a</w:t>
      </w:r>
      <w:r w:rsidRPr="00E500D6">
        <w:rPr>
          <w:bCs/>
        </w:rPr>
        <w:t xml:space="preserve"> </w:t>
      </w:r>
      <w:proofErr w:type="spellStart"/>
      <w:r w:rsidRPr="00E500D6">
        <w:rPr>
          <w:bCs/>
        </w:rPr>
        <w:t>declustering</w:t>
      </w:r>
      <w:proofErr w:type="spellEnd"/>
      <w:r w:rsidRPr="00E500D6">
        <w:rPr>
          <w:bCs/>
        </w:rPr>
        <w:t xml:space="preserve"> potential</w:t>
      </w:r>
    </w:p>
    <w:p w14:paraId="3BDE6EA0" w14:textId="77777777" w:rsidR="00240321" w:rsidRPr="00E500D6" w:rsidRDefault="00240321" w:rsidP="00240321">
      <w:pPr>
        <w:pStyle w:val="Table"/>
        <w:rPr>
          <w:bCs/>
        </w:rPr>
      </w:pPr>
      <w:r w:rsidRPr="00E500D6">
        <w:rPr>
          <w:bCs/>
          <w:vertAlign w:val="superscript"/>
        </w:rPr>
        <w:t>b</w:t>
      </w:r>
      <w:r w:rsidRPr="00E500D6">
        <w:rPr>
          <w:bCs/>
        </w:rPr>
        <w:t xml:space="preserve"> collision energy</w:t>
      </w:r>
    </w:p>
    <w:p w14:paraId="49DD58E3" w14:textId="77777777" w:rsidR="00DC418E" w:rsidRPr="00E500D6" w:rsidRDefault="00240321" w:rsidP="00240321">
      <w:pPr>
        <w:ind w:firstLine="0"/>
        <w:rPr>
          <w:bCs/>
        </w:rPr>
        <w:sectPr w:rsidR="00DC418E" w:rsidRPr="00E500D6" w:rsidSect="00751B0F">
          <w:pgSz w:w="15840" w:h="12240" w:orient="landscape"/>
          <w:pgMar w:top="1440" w:right="1440" w:bottom="1440" w:left="1440" w:header="720" w:footer="720" w:gutter="0"/>
          <w:cols w:space="720"/>
          <w:titlePg/>
          <w:docGrid w:linePitch="360"/>
        </w:sectPr>
      </w:pPr>
      <w:r w:rsidRPr="00E500D6">
        <w:rPr>
          <w:bCs/>
          <w:vertAlign w:val="superscript"/>
        </w:rPr>
        <w:t>c</w:t>
      </w:r>
      <w:r w:rsidRPr="00E500D6">
        <w:rPr>
          <w:bCs/>
        </w:rPr>
        <w:t xml:space="preserve"> lower limit of quantification</w:t>
      </w:r>
    </w:p>
    <w:p w14:paraId="622E29DD" w14:textId="77777777" w:rsidR="00DC418E" w:rsidRPr="00E500D6" w:rsidRDefault="00DC418E" w:rsidP="00DC418E">
      <w:pPr>
        <w:autoSpaceDE w:val="0"/>
        <w:autoSpaceDN w:val="0"/>
        <w:adjustRightInd w:val="0"/>
        <w:spacing w:line="240" w:lineRule="auto"/>
        <w:ind w:firstLine="0"/>
        <w:jc w:val="center"/>
      </w:pPr>
      <w:r w:rsidRPr="00E500D6">
        <w:rPr>
          <w:noProof/>
        </w:rPr>
        <w:lastRenderedPageBreak/>
        <w:drawing>
          <wp:inline distT="0" distB="0" distL="0" distR="0" wp14:anchorId="6E351814" wp14:editId="2EFD0BF8">
            <wp:extent cx="4589169" cy="6753225"/>
            <wp:effectExtent l="0" t="0" r="1905"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 Metabolic Schem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5092" cy="6776657"/>
                    </a:xfrm>
                    <a:prstGeom prst="rect">
                      <a:avLst/>
                    </a:prstGeom>
                  </pic:spPr>
                </pic:pic>
              </a:graphicData>
            </a:graphic>
          </wp:inline>
        </w:drawing>
      </w:r>
    </w:p>
    <w:p w14:paraId="2008E345" w14:textId="77777777" w:rsidR="00DC418E" w:rsidRPr="00E500D6" w:rsidRDefault="00DC418E" w:rsidP="00DC418E">
      <w:pPr>
        <w:autoSpaceDE w:val="0"/>
        <w:autoSpaceDN w:val="0"/>
        <w:adjustRightInd w:val="0"/>
        <w:spacing w:line="240" w:lineRule="auto"/>
        <w:ind w:firstLine="0"/>
        <w:jc w:val="center"/>
      </w:pPr>
    </w:p>
    <w:p w14:paraId="10039BB2" w14:textId="77777777" w:rsidR="00DC418E" w:rsidRPr="00E500D6" w:rsidRDefault="00DC418E" w:rsidP="00DC418E">
      <w:pPr>
        <w:autoSpaceDE w:val="0"/>
        <w:autoSpaceDN w:val="0"/>
        <w:adjustRightInd w:val="0"/>
        <w:spacing w:line="240" w:lineRule="auto"/>
        <w:ind w:firstLine="0"/>
        <w:jc w:val="center"/>
      </w:pPr>
    </w:p>
    <w:p w14:paraId="239A1DB7" w14:textId="372F8911" w:rsidR="00384BF1" w:rsidRPr="00E500D6" w:rsidRDefault="00DC418E" w:rsidP="00045A77">
      <w:pPr>
        <w:spacing w:after="160" w:line="259" w:lineRule="auto"/>
        <w:ind w:firstLine="0"/>
        <w:rPr>
          <w:vertAlign w:val="subscript"/>
        </w:rPr>
      </w:pPr>
      <w:r w:rsidRPr="00E500D6">
        <w:rPr>
          <w:b/>
        </w:rPr>
        <w:t>Figure S1:</w:t>
      </w:r>
      <w:r w:rsidRPr="00E500D6">
        <w:rPr>
          <w:bCs/>
        </w:rPr>
        <w:t xml:space="preserve">  Partial metabolic schemes of A) vitamin D</w:t>
      </w:r>
      <w:r w:rsidRPr="00E500D6">
        <w:rPr>
          <w:bCs/>
          <w:vertAlign w:val="subscript"/>
        </w:rPr>
        <w:t>2</w:t>
      </w:r>
      <w:r w:rsidRPr="00E500D6">
        <w:rPr>
          <w:bCs/>
        </w:rPr>
        <w:t xml:space="preserve"> and B) vitamin D</w:t>
      </w:r>
      <w:r w:rsidRPr="00E500D6">
        <w:rPr>
          <w:bCs/>
          <w:vertAlign w:val="subscript"/>
        </w:rPr>
        <w:t>3</w:t>
      </w:r>
    </w:p>
    <w:sectPr w:rsidR="00384BF1" w:rsidRPr="00E5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7960"/>
    <w:multiLevelType w:val="hybridMultilevel"/>
    <w:tmpl w:val="FC54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6469E"/>
    <w:multiLevelType w:val="multilevel"/>
    <w:tmpl w:val="2D56870E"/>
    <w:lvl w:ilvl="0">
      <w:start w:val="5"/>
      <w:numFmt w:val="decimal"/>
      <w:lvlText w:val="Chapter %1."/>
      <w:lvlJc w:val="left"/>
      <w:pPr>
        <w:ind w:left="360" w:hanging="360"/>
      </w:pPr>
      <w:rPr>
        <w:rFonts w:ascii="Arial" w:hAnsi="Arial" w:hint="default"/>
        <w:b/>
        <w:i w:val="0"/>
        <w:sz w:val="28"/>
      </w:rPr>
    </w:lvl>
    <w:lvl w:ilvl="1">
      <w:start w:val="1"/>
      <w:numFmt w:val="decimal"/>
      <w:lvlText w:val="%1.%2"/>
      <w:lvlJc w:val="left"/>
      <w:pPr>
        <w:ind w:left="1152"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082" w:hanging="115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F894963"/>
    <w:multiLevelType w:val="multilevel"/>
    <w:tmpl w:val="AD1A49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CBC3BF9"/>
    <w:multiLevelType w:val="multilevel"/>
    <w:tmpl w:val="00BEB8F8"/>
    <w:lvl w:ilvl="0">
      <w:start w:val="3"/>
      <w:numFmt w:val="decimal"/>
      <w:suff w:val="space"/>
      <w:lvlText w:val="Chapter %1."/>
      <w:lvlJc w:val="left"/>
      <w:pPr>
        <w:ind w:left="864" w:hanging="864"/>
      </w:pPr>
      <w:rPr>
        <w:rFonts w:ascii="Arial" w:hAnsi="Arial" w:hint="default"/>
        <w:b/>
        <w:i w:val="0"/>
        <w:sz w:val="28"/>
      </w:rPr>
    </w:lvl>
    <w:lvl w:ilvl="1">
      <w:start w:val="1"/>
      <w:numFmt w:val="decimal"/>
      <w:pStyle w:val="Section"/>
      <w:suff w:val="space"/>
      <w:lvlText w:val="%1.%2"/>
      <w:lvlJc w:val="left"/>
      <w:pPr>
        <w:ind w:left="1152" w:hanging="1152"/>
      </w:pPr>
      <w:rPr>
        <w:rFonts w:ascii="Arial" w:hAnsi="Arial" w:hint="default"/>
        <w:b w:val="0"/>
        <w:bCs/>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section"/>
      <w:suff w:val="space"/>
      <w:lvlText w:val="%1.%2.%3"/>
      <w:lvlJc w:val="left"/>
      <w:pPr>
        <w:ind w:left="1152" w:hanging="115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152" w:hanging="1152"/>
      </w:pPr>
      <w:rPr>
        <w:rFonts w:ascii="Arial" w:hAnsi="Arial" w:hint="default"/>
        <w:b w:val="0"/>
        <w:i w:val="0"/>
        <w:color w:val="auto"/>
        <w:sz w:val="22"/>
      </w:rPr>
    </w:lvl>
    <w:lvl w:ilvl="4">
      <w:start w:val="1"/>
      <w:numFmt w:val="none"/>
      <w:suff w:val="nothing"/>
      <w:lvlText w:val=""/>
      <w:lvlJc w:val="left"/>
      <w:pPr>
        <w:ind w:left="864" w:hanging="864"/>
      </w:pPr>
      <w:rPr>
        <w:rFonts w:hint="default"/>
      </w:rPr>
    </w:lvl>
    <w:lvl w:ilvl="5">
      <w:start w:val="1"/>
      <w:numFmt w:val="none"/>
      <w:suff w:val="nothing"/>
      <w:lvlText w:val=""/>
      <w:lvlJc w:val="left"/>
      <w:pPr>
        <w:ind w:left="864" w:hanging="864"/>
      </w:pPr>
      <w:rPr>
        <w:rFonts w:hint="default"/>
      </w:rPr>
    </w:lvl>
    <w:lvl w:ilvl="6">
      <w:start w:val="1"/>
      <w:numFmt w:val="none"/>
      <w:suff w:val="nothing"/>
      <w:lvlText w:val=""/>
      <w:lvlJc w:val="left"/>
      <w:pPr>
        <w:ind w:left="864" w:hanging="864"/>
      </w:pPr>
      <w:rPr>
        <w:rFonts w:hint="default"/>
      </w:rPr>
    </w:lvl>
    <w:lvl w:ilvl="7">
      <w:start w:val="1"/>
      <w:numFmt w:val="none"/>
      <w:suff w:val="nothing"/>
      <w:lvlText w:val=""/>
      <w:lvlJc w:val="left"/>
      <w:pPr>
        <w:ind w:left="864" w:hanging="864"/>
      </w:pPr>
      <w:rPr>
        <w:rFonts w:hint="default"/>
      </w:rPr>
    </w:lvl>
    <w:lvl w:ilvl="8">
      <w:start w:val="1"/>
      <w:numFmt w:val="none"/>
      <w:suff w:val="nothing"/>
      <w:lvlText w:val=""/>
      <w:lvlJc w:val="left"/>
      <w:pPr>
        <w:ind w:left="864" w:hanging="864"/>
      </w:pPr>
      <w:rPr>
        <w:rFonts w:hint="default"/>
      </w:rPr>
    </w:lvl>
  </w:abstractNum>
  <w:num w:numId="1" w16cid:durableId="1743717018">
    <w:abstractNumId w:val="1"/>
  </w:num>
  <w:num w:numId="2" w16cid:durableId="952857160">
    <w:abstractNumId w:val="1"/>
  </w:num>
  <w:num w:numId="3" w16cid:durableId="1806966984">
    <w:abstractNumId w:val="1"/>
  </w:num>
  <w:num w:numId="4" w16cid:durableId="356154614">
    <w:abstractNumId w:val="1"/>
  </w:num>
  <w:num w:numId="5" w16cid:durableId="1327586045">
    <w:abstractNumId w:val="1"/>
  </w:num>
  <w:num w:numId="6" w16cid:durableId="1916042169">
    <w:abstractNumId w:val="2"/>
  </w:num>
  <w:num w:numId="7" w16cid:durableId="134445659">
    <w:abstractNumId w:val="1"/>
  </w:num>
  <w:num w:numId="8" w16cid:durableId="3486326">
    <w:abstractNumId w:val="3"/>
  </w:num>
  <w:num w:numId="9" w16cid:durableId="52118458">
    <w:abstractNumId w:val="3"/>
  </w:num>
  <w:num w:numId="10" w16cid:durableId="1639724608">
    <w:abstractNumId w:val="3"/>
  </w:num>
  <w:num w:numId="11" w16cid:durableId="33719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F1"/>
    <w:rsid w:val="00045A77"/>
    <w:rsid w:val="00124062"/>
    <w:rsid w:val="00184FD9"/>
    <w:rsid w:val="001F1934"/>
    <w:rsid w:val="00201C65"/>
    <w:rsid w:val="002040B0"/>
    <w:rsid w:val="00240321"/>
    <w:rsid w:val="0024278A"/>
    <w:rsid w:val="00306C52"/>
    <w:rsid w:val="003271DB"/>
    <w:rsid w:val="00384BF1"/>
    <w:rsid w:val="00394CC9"/>
    <w:rsid w:val="003A7D23"/>
    <w:rsid w:val="00443AFD"/>
    <w:rsid w:val="00472FCB"/>
    <w:rsid w:val="004B7896"/>
    <w:rsid w:val="004C6DBD"/>
    <w:rsid w:val="00531813"/>
    <w:rsid w:val="00540D12"/>
    <w:rsid w:val="005675AF"/>
    <w:rsid w:val="00660390"/>
    <w:rsid w:val="00663DA3"/>
    <w:rsid w:val="006979C5"/>
    <w:rsid w:val="006C49CF"/>
    <w:rsid w:val="00736824"/>
    <w:rsid w:val="00751B0F"/>
    <w:rsid w:val="00753076"/>
    <w:rsid w:val="007F619A"/>
    <w:rsid w:val="009357B4"/>
    <w:rsid w:val="009F5CF1"/>
    <w:rsid w:val="00A062CA"/>
    <w:rsid w:val="00A336B8"/>
    <w:rsid w:val="00AB7D65"/>
    <w:rsid w:val="00AD3194"/>
    <w:rsid w:val="00B7671D"/>
    <w:rsid w:val="00BF0909"/>
    <w:rsid w:val="00BF7D19"/>
    <w:rsid w:val="00C4120F"/>
    <w:rsid w:val="00CA5AD7"/>
    <w:rsid w:val="00CC71A4"/>
    <w:rsid w:val="00DC418E"/>
    <w:rsid w:val="00E500D6"/>
    <w:rsid w:val="00E832AF"/>
    <w:rsid w:val="00E92A21"/>
    <w:rsid w:val="00F813E3"/>
    <w:rsid w:val="00F901BE"/>
    <w:rsid w:val="00FE1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094C"/>
  <w15:chartTrackingRefBased/>
  <w15:docId w15:val="{A07E57EC-1B1B-4A81-9446-48681B6C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3E3"/>
    <w:pPr>
      <w:spacing w:after="120" w:line="480" w:lineRule="auto"/>
      <w:ind w:firstLine="720"/>
      <w:jc w:val="both"/>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ListParagraph"/>
    <w:next w:val="Section"/>
    <w:link w:val="ChapterTitleChar"/>
    <w:autoRedefine/>
    <w:qFormat/>
    <w:rsid w:val="00BF7D19"/>
    <w:pPr>
      <w:keepNext/>
      <w:keepLines/>
      <w:spacing w:before="40" w:after="0"/>
      <w:ind w:left="0" w:firstLine="0"/>
      <w:contextualSpacing w:val="0"/>
      <w:jc w:val="center"/>
      <w:outlineLvl w:val="0"/>
    </w:pPr>
    <w:rPr>
      <w:rFonts w:cstheme="minorBidi"/>
      <w:b/>
    </w:rPr>
  </w:style>
  <w:style w:type="character" w:customStyle="1" w:styleId="ChapterTitleChar">
    <w:name w:val="Chapter Title Char"/>
    <w:basedOn w:val="DefaultParagraphFont"/>
    <w:link w:val="ChapterTitle"/>
    <w:rsid w:val="00BF7D19"/>
    <w:rPr>
      <w:rFonts w:ascii="Arial" w:hAnsi="Arial"/>
      <w:b/>
    </w:rPr>
  </w:style>
  <w:style w:type="paragraph" w:styleId="ListParagraph">
    <w:name w:val="List Paragraph"/>
    <w:basedOn w:val="Normal"/>
    <w:uiPriority w:val="34"/>
    <w:qFormat/>
    <w:rsid w:val="00AB7D65"/>
    <w:pPr>
      <w:ind w:left="720"/>
      <w:contextualSpacing/>
    </w:pPr>
  </w:style>
  <w:style w:type="paragraph" w:customStyle="1" w:styleId="Section">
    <w:name w:val="Section"/>
    <w:basedOn w:val="ChapterTitle"/>
    <w:next w:val="Normal"/>
    <w:link w:val="SectionChar"/>
    <w:qFormat/>
    <w:rsid w:val="00F813E3"/>
    <w:pPr>
      <w:numPr>
        <w:ilvl w:val="1"/>
        <w:numId w:val="10"/>
      </w:numPr>
      <w:spacing w:after="220"/>
    </w:pPr>
    <w:rPr>
      <w:szCs w:val="18"/>
    </w:rPr>
  </w:style>
  <w:style w:type="character" w:customStyle="1" w:styleId="SectionChar">
    <w:name w:val="Section Char"/>
    <w:basedOn w:val="ChapterTitleChar"/>
    <w:link w:val="Section"/>
    <w:rsid w:val="00F813E3"/>
    <w:rPr>
      <w:rFonts w:ascii="Arial" w:hAnsi="Arial"/>
      <w:b/>
      <w:sz w:val="28"/>
      <w:szCs w:val="18"/>
    </w:rPr>
  </w:style>
  <w:style w:type="paragraph" w:customStyle="1" w:styleId="Subsection">
    <w:name w:val="Subsection"/>
    <w:basedOn w:val="Section"/>
    <w:next w:val="Normal"/>
    <w:link w:val="SubsectionChar"/>
    <w:autoRedefine/>
    <w:qFormat/>
    <w:rsid w:val="00F813E3"/>
    <w:pPr>
      <w:numPr>
        <w:ilvl w:val="2"/>
      </w:numPr>
    </w:pPr>
    <w:rPr>
      <w:b w:val="0"/>
      <w:bCs/>
      <w:i/>
      <w:iCs/>
    </w:rPr>
  </w:style>
  <w:style w:type="character" w:customStyle="1" w:styleId="SubsectionChar">
    <w:name w:val="Subsection Char"/>
    <w:basedOn w:val="SectionChar"/>
    <w:link w:val="Subsection"/>
    <w:rsid w:val="00AB7D65"/>
    <w:rPr>
      <w:rFonts w:ascii="Arial" w:hAnsi="Arial"/>
      <w:b w:val="0"/>
      <w:bCs/>
      <w:i/>
      <w:iCs/>
      <w:sz w:val="28"/>
      <w:szCs w:val="18"/>
    </w:rPr>
  </w:style>
  <w:style w:type="paragraph" w:customStyle="1" w:styleId="Sub-SubSection">
    <w:name w:val="Sub-Sub Section"/>
    <w:basedOn w:val="Subsection"/>
    <w:link w:val="Sub-SubSectionChar"/>
    <w:qFormat/>
    <w:rsid w:val="00384BF1"/>
    <w:pPr>
      <w:keepNext w:val="0"/>
      <w:keepLines w:val="0"/>
      <w:numPr>
        <w:ilvl w:val="3"/>
        <w:numId w:val="0"/>
      </w:numPr>
      <w:spacing w:before="0"/>
      <w:jc w:val="left"/>
      <w:outlineLvl w:val="9"/>
    </w:pPr>
    <w:rPr>
      <w:bCs w:val="0"/>
      <w:szCs w:val="22"/>
      <w:u w:val="single"/>
    </w:rPr>
  </w:style>
  <w:style w:type="character" w:customStyle="1" w:styleId="Sub-SubSectionChar">
    <w:name w:val="Sub-Sub Section Char"/>
    <w:basedOn w:val="DefaultParagraphFont"/>
    <w:link w:val="Sub-SubSection"/>
    <w:rsid w:val="00384BF1"/>
    <w:rPr>
      <w:rFonts w:ascii="Arial" w:hAnsi="Arial"/>
      <w:i/>
      <w:iCs/>
      <w:u w:val="single"/>
    </w:rPr>
  </w:style>
  <w:style w:type="table" w:styleId="TableGrid">
    <w:name w:val="Table Grid"/>
    <w:basedOn w:val="TableNormal"/>
    <w:uiPriority w:val="39"/>
    <w:rsid w:val="00240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link w:val="TableChar"/>
    <w:qFormat/>
    <w:rsid w:val="00240321"/>
    <w:pPr>
      <w:spacing w:after="0"/>
    </w:pPr>
    <w:rPr>
      <w:rFonts w:ascii="Arial" w:hAnsi="Arial" w:cs="Arial"/>
    </w:rPr>
  </w:style>
  <w:style w:type="character" w:customStyle="1" w:styleId="TableChar">
    <w:name w:val="Table Char"/>
    <w:basedOn w:val="DefaultParagraphFont"/>
    <w:link w:val="Table"/>
    <w:rsid w:val="00240321"/>
    <w:rPr>
      <w:rFonts w:ascii="Arial" w:hAnsi="Arial" w:cs="Arial"/>
    </w:rPr>
  </w:style>
  <w:style w:type="table" w:customStyle="1" w:styleId="TableGrid3">
    <w:name w:val="Table Grid3"/>
    <w:basedOn w:val="TableNormal"/>
    <w:next w:val="TableGrid"/>
    <w:uiPriority w:val="59"/>
    <w:rsid w:val="00DC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Section">
    <w:name w:val="Paper Section"/>
    <w:basedOn w:val="Section"/>
    <w:qFormat/>
    <w:rsid w:val="00DC418E"/>
    <w:pPr>
      <w:keepNext w:val="0"/>
      <w:keepLines w:val="0"/>
      <w:widowControl w:val="0"/>
      <w:numPr>
        <w:ilvl w:val="0"/>
        <w:numId w:val="0"/>
      </w:numPr>
      <w:spacing w:before="0" w:after="0"/>
      <w:ind w:left="360" w:hanging="360"/>
      <w:jc w:val="left"/>
    </w:pPr>
    <w:rPr>
      <w:rFonts w:eastAsiaTheme="majorEastAsia" w:cstheme="majorBidi"/>
      <w:bCs/>
      <w:szCs w:val="26"/>
    </w:rPr>
  </w:style>
  <w:style w:type="paragraph" w:customStyle="1" w:styleId="PaperSub-Section">
    <w:name w:val="Paper Sub-Section"/>
    <w:basedOn w:val="Section"/>
    <w:qFormat/>
    <w:rsid w:val="00DC418E"/>
    <w:pPr>
      <w:keepNext w:val="0"/>
      <w:keepLines w:val="0"/>
      <w:widowControl w:val="0"/>
      <w:numPr>
        <w:ilvl w:val="0"/>
        <w:numId w:val="0"/>
      </w:numPr>
      <w:spacing w:before="0" w:after="0"/>
      <w:ind w:left="360" w:hanging="360"/>
      <w:jc w:val="left"/>
    </w:pPr>
    <w:rPr>
      <w:rFonts w:eastAsiaTheme="majorEastAsia" w:cstheme="majorBidi"/>
      <w:bCs/>
      <w:szCs w:val="26"/>
    </w:rPr>
  </w:style>
  <w:style w:type="paragraph" w:styleId="Revision">
    <w:name w:val="Revision"/>
    <w:hidden/>
    <w:uiPriority w:val="99"/>
    <w:semiHidden/>
    <w:rsid w:val="00BF7D19"/>
    <w:pPr>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S i m c y p D a t a   x m l n s = " h t t p : / / w w w . s i m c y p . c o m / " >  
     < P r o f i l e C h a r t s / >  
     < R e s u l t s T a b l e s / >  
     < S t a t i s t i c s C h a r t s / >  
     < R e g i o n a l F r a c t i o n C h a r t s / >  
     < I n p u t T a b l e s / >  
 < / S i m c y p D a t a > 
</file>

<file path=customXml/itemProps1.xml><?xml version="1.0" encoding="utf-8"?>
<ds:datastoreItem xmlns:ds="http://schemas.openxmlformats.org/officeDocument/2006/customXml" ds:itemID="{41FD5F9F-6682-4DE3-90BD-031E8BB3D41C}">
  <ds:schemaRefs>
    <ds:schemaRef ds:uri="http://www.simcyp.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Bergagnini-Kolev</dc:creator>
  <cp:keywords/>
  <dc:description/>
  <cp:lastModifiedBy>Simon Hsu</cp:lastModifiedBy>
  <cp:revision>11</cp:revision>
  <dcterms:created xsi:type="dcterms:W3CDTF">2023-02-15T17:34:00Z</dcterms:created>
  <dcterms:modified xsi:type="dcterms:W3CDTF">2023-03-08T06:13:00Z</dcterms:modified>
</cp:coreProperties>
</file>