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hivo" w:hAnsi="Chivo"/>
          <w:b/>
          <w:color w:val="FF3E52"/>
          <w:sz w:val="24"/>
        </w:rPr>
        <w:t>GO VOCAL  ×  OSP</w:t>
      </w:r>
    </w:p>
    <w:p>
      <w:pPr>
        <w:spacing w:before="240" w:after="160"/>
      </w:pPr>
      <w:r>
        <w:rPr>
          <w:rFonts w:ascii="Chivo" w:hAnsi="Chivo"/>
          <w:color w:val="1E155D"/>
          <w:sz w:val="88"/>
        </w:rPr>
        <w:t>Upgrading your</w:t>
        <w:br/>
        <w:t>participation tools.</w:t>
      </w:r>
    </w:p>
    <w:p>
      <w:pPr>
        <w:spacing w:after="480"/>
      </w:pPr>
      <w:r>
        <w:rPr>
          <w:rFonts w:ascii="Chivo" w:hAnsi="Chivo"/>
          <w:color w:val="43369B"/>
          <w:sz w:val="30"/>
        </w:rPr>
        <w:t>More inclusive, more interactive, and more responsive engagement with your community — building on the participation practice you've developed with OSP on Decidim.</w:t>
      </w:r>
    </w:p>
    <w:tbl>
      <w:tblPr>
        <w:tblW w:type="auto" w:w="0"/>
        <w:tblLayout w:type="fixed"/>
        <w:tblLook w:firstColumn="1" w:firstRow="1" w:lastColumn="0" w:lastRow="0" w:noHBand="0" w:noVBand="1" w:val="04A0"/>
      </w:tblPr>
      <w:tblGrid>
        <w:gridCol w:w="9412"/>
      </w:tblGrid>
      <w:tr>
        <w:tc>
          <w:tcPr>
            <w:tcW w:type="dxa" w:w="9071"/>
            <w:shd w:fill="FF3E52"/>
          </w:tcPr>
          <w:p>
            <w:pPr>
              <w:spacing w:before="0" w:after="0"/>
            </w:pPr>
            <w:r>
              <w:rPr>
                <w:sz w:val="4"/>
              </w:rPr>
              <w:t xml:space="preserve"> </w:t>
            </w:r>
          </w:p>
        </w:tc>
      </w:tr>
    </w:tbl>
    <w:p/>
    <w:p/>
    <w:p/>
    <w:p/>
    <w:p/>
    <w:p/>
    <w:p>
      <w:pPr>
        <w:spacing w:after="40"/>
      </w:pPr>
      <w:r>
        <w:rPr>
          <w:rFonts w:ascii="Chivo" w:hAnsi="Chivo"/>
          <w:b/>
          <w:color w:val="43369B"/>
          <w:sz w:val="20"/>
        </w:rPr>
        <w:t xml:space="preserve">Prepared by   </w:t>
      </w:r>
      <w:r>
        <w:rPr>
          <w:rFonts w:ascii="Chivo" w:hAnsi="Chivo"/>
          <w:color w:val="1E155D"/>
          <w:sz w:val="20"/>
        </w:rPr>
        <w:t>Go Vocal — Product &amp; Leadership</w:t>
      </w:r>
    </w:p>
    <w:p>
      <w:pPr>
        <w:spacing w:after="40"/>
      </w:pPr>
      <w:r>
        <w:rPr>
          <w:rFonts w:ascii="Chivo" w:hAnsi="Chivo"/>
          <w:b/>
          <w:color w:val="43369B"/>
          <w:sz w:val="20"/>
        </w:rPr>
        <w:t xml:space="preserve">Audience   </w:t>
      </w:r>
      <w:r>
        <w:rPr>
          <w:rFonts w:ascii="Chivo" w:hAnsi="Chivo"/>
          <w:color w:val="1E155D"/>
          <w:sz w:val="20"/>
        </w:rPr>
        <w:t>OSP Decidim clients evaluating a migration path</w:t>
      </w:r>
    </w:p>
    <w:p>
      <w:pPr>
        <w:spacing w:after="40"/>
      </w:pPr>
      <w:r>
        <w:rPr>
          <w:rFonts w:ascii="Chivo" w:hAnsi="Chivo"/>
          <w:b/>
          <w:color w:val="43369B"/>
          <w:sz w:val="20"/>
        </w:rPr>
        <w:t xml:space="preserve">Version   </w:t>
      </w:r>
      <w:r>
        <w:rPr>
          <w:rFonts w:ascii="Chivo" w:hAnsi="Chivo"/>
          <w:color w:val="1E155D"/>
          <w:sz w:val="20"/>
        </w:rPr>
        <w:t>v2 · April 2026</w:t>
      </w:r>
    </w:p>
    <w:p>
      <w:pPr>
        <w:spacing w:after="40"/>
      </w:pPr>
      <w:r>
        <w:rPr>
          <w:rFonts w:ascii="Chivo" w:hAnsi="Chivo"/>
          <w:b/>
          <w:color w:val="43369B"/>
          <w:sz w:val="20"/>
        </w:rPr>
        <w:t xml:space="preserve">Contact   </w:t>
      </w:r>
      <w:r>
        <w:rPr>
          <w:rFonts w:ascii="Chivo" w:hAnsi="Chivo"/>
          <w:color w:val="1E155D"/>
          <w:sz w:val="20"/>
        </w:rPr>
        <w:t>Valentin Chaput (migration lead) · Wietse Van Ransbeeck (CEO)</w:t>
      </w:r>
    </w:p>
    <w:p>
      <w:r>
        <w:br w:type="page"/>
      </w:r>
    </w:p>
    <w:p>
      <w:pPr>
        <w:spacing w:before="320" w:after="160"/>
      </w:pPr>
      <w:r>
        <w:rPr>
          <w:rFonts w:ascii="Chivo" w:hAnsi="Chivo"/>
          <w:b w:val="0"/>
          <w:color w:val="1E155D"/>
          <w:sz w:val="44"/>
        </w:rPr>
        <w:t>Why this note</w:t>
      </w:r>
    </w:p>
    <w:p>
      <w:pPr>
        <w:spacing w:after="160"/>
      </w:pPr>
      <w:r>
        <w:rPr>
          <w:rFonts w:ascii="Chivo" w:hAnsi="Chivo"/>
          <w:color w:val="1E155D"/>
          <w:sz w:val="26"/>
        </w:rPr>
        <w:t>You already run a healthy participation practice on Decidim, supported by OSP. The intent of this note is to show how that practice can grow — with richer tools, less operational overhead, and the same people at your side.</w:t>
      </w:r>
    </w:p>
    <w:p>
      <w:pPr>
        <w:spacing w:after="120"/>
      </w:pPr>
      <w:r>
        <w:rPr>
          <w:rFonts w:ascii="Chivo" w:hAnsi="Chivo"/>
          <w:b w:val="0"/>
          <w:i w:val="0"/>
          <w:color w:val="1E155D"/>
          <w:sz w:val="22"/>
        </w:rPr>
        <w:t>As you know, OSP recently joined Go Vocal. A large part of the reason is the product itself: Go Vocal has invested heavily in engagement methods, AI-assisted analysis, and a modern resident experience, and in 2025 was ranked #1 globally by People Powered with a perfect 100/100 on features — among 30 international digital participation platforms assessed. Bringing OSP and Go Vocal together means your familiar partners now have a more complete toolbox to work with.</w:t>
      </w:r>
    </w:p>
    <w:p>
      <w:pPr>
        <w:spacing w:after="120"/>
      </w:pPr>
      <w:r>
        <w:rPr>
          <w:rFonts w:ascii="Chivo" w:hAnsi="Chivo"/>
          <w:b w:val="0"/>
          <w:i w:val="0"/>
          <w:color w:val="1E155D"/>
          <w:sz w:val="22"/>
        </w:rPr>
        <w:t>This note is written in that spirit: not as a pitch, but as a consultative overview of where Go Vocal can lift your current practice, and where Decidim still does things differently. We've tried to be honest about both.</w:t>
      </w:r>
    </w:p>
    <w:p>
      <w:pPr>
        <w:spacing w:before="240" w:after="120"/>
      </w:pPr>
      <w:r>
        <w:rPr>
          <w:rFonts w:ascii="Chivo" w:hAnsi="Chivo"/>
          <w:b/>
          <w:color w:val="1E155D"/>
          <w:sz w:val="32"/>
        </w:rPr>
        <w:t>Go Vocal in numbers</w:t>
      </w:r>
    </w:p>
    <w:tbl>
      <w:tblPr>
        <w:tblW w:type="auto" w:w="0"/>
        <w:tblLayout w:type="fixed"/>
        <w:tblLook w:firstColumn="1" w:firstRow="1" w:lastColumn="0" w:lastRow="0" w:noHBand="0" w:noVBand="1" w:val="04A0"/>
      </w:tblPr>
      <w:tblGrid>
        <w:gridCol w:w="1569"/>
        <w:gridCol w:w="1569"/>
        <w:gridCol w:w="1569"/>
        <w:gridCol w:w="1569"/>
        <w:gridCol w:w="1569"/>
        <w:gridCol w:w="1569"/>
      </w:tblGrid>
      <w:tr>
        <w:tc>
          <w:tcPr>
            <w:tcW w:type="dxa" w:w="1569"/>
            <w:shd w:fill="F0EEFA"/>
          </w:tcPr>
          <w:p>
            <w:pPr>
              <w:jc w:val="center"/>
            </w:pPr>
            <w:r>
              <w:rPr>
                <w:rFonts w:ascii="Chivo" w:hAnsi="Chivo"/>
                <w:b/>
                <w:color w:val="1E155D"/>
                <w:sz w:val="32"/>
              </w:rPr>
              <w:t>4.7 / 5</w:t>
            </w:r>
          </w:p>
        </w:tc>
        <w:tc>
          <w:tcPr>
            <w:tcW w:type="dxa" w:w="1569"/>
            <w:shd w:fill="F0EEFA"/>
          </w:tcPr>
          <w:p>
            <w:pPr>
              <w:jc w:val="center"/>
            </w:pPr>
            <w:r>
              <w:rPr>
                <w:rFonts w:ascii="Chivo" w:hAnsi="Chivo"/>
                <w:b/>
                <w:color w:val="1E155D"/>
                <w:sz w:val="32"/>
              </w:rPr>
              <w:t>640+</w:t>
            </w:r>
          </w:p>
        </w:tc>
        <w:tc>
          <w:tcPr>
            <w:tcW w:type="dxa" w:w="1569"/>
            <w:shd w:fill="F0EEFA"/>
          </w:tcPr>
          <w:p>
            <w:pPr>
              <w:jc w:val="center"/>
            </w:pPr>
            <w:r>
              <w:rPr>
                <w:rFonts w:ascii="Chivo" w:hAnsi="Chivo"/>
                <w:b/>
                <w:color w:val="1E155D"/>
                <w:sz w:val="32"/>
              </w:rPr>
              <w:t>40</w:t>
            </w:r>
          </w:p>
        </w:tc>
        <w:tc>
          <w:tcPr>
            <w:tcW w:type="dxa" w:w="1569"/>
            <w:shd w:fill="F0EEFA"/>
          </w:tcPr>
          <w:p>
            <w:pPr>
              <w:jc w:val="center"/>
            </w:pPr>
            <w:r>
              <w:rPr>
                <w:rFonts w:ascii="Chivo" w:hAnsi="Chivo"/>
                <w:b/>
                <w:color w:val="1E155D"/>
                <w:sz w:val="32"/>
              </w:rPr>
              <w:t>27,100</w:t>
            </w:r>
          </w:p>
        </w:tc>
        <w:tc>
          <w:tcPr>
            <w:tcW w:type="dxa" w:w="1569"/>
            <w:shd w:fill="F0EEFA"/>
          </w:tcPr>
          <w:p>
            <w:pPr>
              <w:jc w:val="center"/>
            </w:pPr>
            <w:r>
              <w:rPr>
                <w:rFonts w:ascii="Chivo" w:hAnsi="Chivo"/>
                <w:b/>
                <w:color w:val="1E155D"/>
                <w:sz w:val="32"/>
              </w:rPr>
              <w:t>2.5M+</w:t>
            </w:r>
          </w:p>
        </w:tc>
        <w:tc>
          <w:tcPr>
            <w:tcW w:type="dxa" w:w="1569"/>
            <w:shd w:fill="F0EEFA"/>
          </w:tcPr>
          <w:p>
            <w:pPr>
              <w:jc w:val="center"/>
            </w:pPr>
            <w:r>
              <w:rPr>
                <w:rFonts w:ascii="Chivo" w:hAnsi="Chivo"/>
                <w:b/>
                <w:color w:val="1E155D"/>
                <w:sz w:val="32"/>
              </w:rPr>
              <w:t>100/100</w:t>
            </w:r>
          </w:p>
        </w:tc>
      </w:tr>
      <w:tr>
        <w:tc>
          <w:tcPr>
            <w:tcW w:type="dxa" w:w="1569"/>
            <w:shd w:fill="F0EEFA"/>
          </w:tcPr>
          <w:p>
            <w:pPr>
              <w:jc w:val="center"/>
            </w:pPr>
            <w:r>
              <w:rPr>
                <w:rFonts w:ascii="Chivo" w:hAnsi="Chivo"/>
                <w:color w:val="43369B"/>
                <w:sz w:val="18"/>
              </w:rPr>
              <w:t>Client satisfaction</w:t>
            </w:r>
          </w:p>
        </w:tc>
        <w:tc>
          <w:tcPr>
            <w:tcW w:type="dxa" w:w="1569"/>
            <w:shd w:fill="F0EEFA"/>
          </w:tcPr>
          <w:p>
            <w:pPr>
              <w:jc w:val="center"/>
            </w:pPr>
            <w:r>
              <w:rPr>
                <w:rFonts w:ascii="Chivo" w:hAnsi="Chivo"/>
                <w:color w:val="43369B"/>
                <w:sz w:val="18"/>
              </w:rPr>
              <w:t>Governments</w:t>
            </w:r>
          </w:p>
        </w:tc>
        <w:tc>
          <w:tcPr>
            <w:tcW w:type="dxa" w:w="1569"/>
            <w:shd w:fill="F0EEFA"/>
          </w:tcPr>
          <w:p>
            <w:pPr>
              <w:jc w:val="center"/>
            </w:pPr>
            <w:r>
              <w:rPr>
                <w:rFonts w:ascii="Chivo" w:hAnsi="Chivo"/>
                <w:color w:val="43369B"/>
                <w:sz w:val="18"/>
              </w:rPr>
              <w:t>Countries</w:t>
            </w:r>
          </w:p>
        </w:tc>
        <w:tc>
          <w:tcPr>
            <w:tcW w:type="dxa" w:w="1569"/>
            <w:shd w:fill="F0EEFA"/>
          </w:tcPr>
          <w:p>
            <w:pPr>
              <w:jc w:val="center"/>
            </w:pPr>
            <w:r>
              <w:rPr>
                <w:rFonts w:ascii="Chivo" w:hAnsi="Chivo"/>
                <w:color w:val="43369B"/>
                <w:sz w:val="18"/>
              </w:rPr>
              <w:t>Projects launched</w:t>
            </w:r>
          </w:p>
        </w:tc>
        <w:tc>
          <w:tcPr>
            <w:tcW w:type="dxa" w:w="1569"/>
            <w:shd w:fill="F0EEFA"/>
          </w:tcPr>
          <w:p>
            <w:pPr>
              <w:jc w:val="center"/>
            </w:pPr>
            <w:r>
              <w:rPr>
                <w:rFonts w:ascii="Chivo" w:hAnsi="Chivo"/>
                <w:color w:val="43369B"/>
                <w:sz w:val="18"/>
              </w:rPr>
              <w:t>Community members</w:t>
            </w:r>
          </w:p>
        </w:tc>
        <w:tc>
          <w:tcPr>
            <w:tcW w:type="dxa" w:w="1569"/>
            <w:shd w:fill="F0EEFA"/>
          </w:tcPr>
          <w:p>
            <w:pPr>
              <w:jc w:val="center"/>
            </w:pPr>
            <w:r>
              <w:rPr>
                <w:rFonts w:ascii="Chivo" w:hAnsi="Chivo"/>
                <w:color w:val="43369B"/>
                <w:sz w:val="18"/>
              </w:rPr>
              <w:t>People Powered score</w:t>
            </w:r>
          </w:p>
        </w:tc>
      </w:tr>
    </w:tbl>
    <w:p/>
    <w:p>
      <w:r>
        <w:br w:type="page"/>
      </w:r>
    </w:p>
    <w:p>
      <w:pPr>
        <w:spacing w:before="360" w:after="240"/>
      </w:pPr>
      <w:r>
        <w:rPr>
          <w:rFonts w:ascii="Chivo" w:hAnsi="Chivo"/>
          <w:b w:val="0"/>
          <w:color w:val="1E155D"/>
          <w:sz w:val="56"/>
        </w:rPr>
        <w:t>Section A — Five areas where teams feel the biggest lift</w:t>
      </w:r>
    </w:p>
    <w:p>
      <w:pPr>
        <w:spacing w:after="120"/>
      </w:pPr>
      <w:r>
        <w:rPr>
          <w:rFonts w:ascii="Chivo" w:hAnsi="Chivo"/>
          <w:b w:val="0"/>
          <w:i w:val="0"/>
          <w:color w:val="1E155D"/>
          <w:sz w:val="22"/>
        </w:rPr>
        <w:t>Across the migration conversations we've had so far with OSP clients, five areas come up again and again as the places where teams feel a meaningful improvement — four product areas, and one around how the platform evolves and how we work with you around it. For each, we've framed the opportunity as we hear it from practitioners, and then described the three features (or services) that do the most to address it.</w:t>
      </w:r>
    </w:p>
    <w:tbl>
      <w:tblPr>
        <w:tblW w:type="auto" w:w="0"/>
        <w:tblLayout w:type="fixed"/>
        <w:tblLook w:firstColumn="1" w:firstRow="1" w:lastColumn="0" w:lastRow="0" w:noHBand="0" w:noVBand="1" w:val="04A0"/>
      </w:tblPr>
      <w:tblGrid>
        <w:gridCol w:w="1417"/>
        <w:gridCol w:w="7937"/>
      </w:tblGrid>
      <w:tr>
        <w:tc>
          <w:tcPr>
            <w:tcW w:type="dxa" w:w="1417"/>
            <w:shd w:fill="1E155D"/>
            <w:vAlign w:val="center"/>
          </w:tcPr>
          <w:p>
            <w:pPr>
              <w:jc w:val="center"/>
            </w:pPr>
            <w:r>
              <w:rPr>
                <w:rFonts w:ascii="Chivo" w:hAnsi="Chivo"/>
                <w:b/>
                <w:color w:val="FFFFFF"/>
                <w:sz w:val="64"/>
              </w:rPr>
              <w:t>1</w:t>
            </w:r>
          </w:p>
        </w:tc>
        <w:tc>
          <w:tcPr>
            <w:tcW w:type="dxa" w:w="7937"/>
            <w:shd w:fill="F0EEFA"/>
            <w:vAlign w:val="center"/>
          </w:tcPr>
          <w:p>
            <w:r>
              <w:rPr>
                <w:rFonts w:ascii="Chivo" w:hAnsi="Chivo"/>
                <w:b w:val="0"/>
                <w:color w:val="1E155D"/>
                <w:sz w:val="40"/>
              </w:rPr>
              <w:t xml:space="preserve">  Hybrid input &amp; representativeness</w:t>
            </w:r>
          </w:p>
        </w:tc>
      </w:tr>
    </w:tbl>
    <w:p/>
    <w:p>
      <w:pPr>
        <w:spacing w:after="40"/>
      </w:pPr>
      <w:r>
        <w:rPr>
          <w:rFonts w:ascii="Chivo" w:hAnsi="Chivo"/>
          <w:b/>
          <w:color w:val="FF3E52"/>
          <w:sz w:val="24"/>
        </w:rPr>
        <w:t>The opportunity</w:t>
      </w:r>
    </w:p>
    <w:p>
      <w:pPr>
        <w:spacing w:after="120"/>
      </w:pPr>
      <w:r>
        <w:rPr>
          <w:rFonts w:ascii="Chivo" w:hAnsi="Chivo"/>
          <w:b w:val="0"/>
          <w:i w:val="0"/>
          <w:color w:val="1E155D"/>
          <w:sz w:val="22"/>
        </w:rPr>
        <w:t>A recurring theme in our conversations with OSP clients is the difficulty of bringing on- and offline input together into a single view. Today, paper forms and in-person meeting contributions usually get re-typed into Decidim by hand, and representativeness — whether you're actually hearing from the residents you intended to — tends to be tracked in side spreadsheets, if it's tracked at all. That adds operational load and limits how inclusive any one consultation can be in practice. Go Vocal is built around the idea that every channel feeds the same dataset, so teams can reach further without re-doing the work.</w:t>
      </w:r>
    </w:p>
    <w:p>
      <w:pPr>
        <w:spacing w:before="200" w:after="40"/>
      </w:pPr>
      <w:r>
        <w:rPr>
          <w:rFonts w:ascii="Chivo" w:hAnsi="Chivo"/>
          <w:b/>
          <w:color w:val="FF3E52"/>
          <w:sz w:val="24"/>
        </w:rPr>
        <w:t>What we offer</w:t>
      </w:r>
    </w:p>
    <w:p>
      <w:pPr>
        <w:spacing w:after="120"/>
      </w:pPr>
      <w:r>
        <w:rPr>
          <w:rFonts w:ascii="Chivo" w:hAnsi="Chivo"/>
          <w:b w:val="0"/>
          <w:i w:val="0"/>
          <w:color w:val="1E155D"/>
          <w:sz w:val="22"/>
        </w:rPr>
        <w:t>Three capabilities that together turn hybrid participation from a manual exercise into a single flow.</w:t>
      </w:r>
    </w:p>
    <w:p>
      <w:pPr>
        <w:pStyle w:val="ListBullet"/>
      </w:pPr>
      <w:r>
        <w:rPr>
          <w:rFonts w:ascii="Chivo" w:hAnsi="Chivo"/>
          <w:b/>
          <w:color w:val="1E155D"/>
          <w:sz w:val="22"/>
        </w:rPr>
        <w:t xml:space="preserve">360° Input Portal (with FormSync &amp; ECHO). </w:t>
      </w:r>
      <w:r>
        <w:rPr>
          <w:rFonts w:ascii="Chivo" w:hAnsi="Chivo"/>
          <w:color w:val="1E155D"/>
          <w:sz w:val="22"/>
        </w:rPr>
        <w:t>One workspace where every input lands: online submissions, paper surveys scanned via OCR with FormSync 2.0, and in-person meeting transcripts produced by ECHO. No double entry, no parallel spreadsheets — all channels feed the same analytical environment.</w:t>
      </w:r>
    </w:p>
    <w:p>
      <w:pPr>
        <w:pStyle w:val="ListBullet"/>
      </w:pPr>
      <w:r>
        <w:rPr>
          <w:rFonts w:ascii="Chivo" w:hAnsi="Chivo"/>
          <w:b/>
          <w:color w:val="1E155D"/>
          <w:sz w:val="22"/>
        </w:rPr>
        <w:t xml:space="preserve">Phygital participation toolkit. </w:t>
      </w:r>
      <w:r>
        <w:rPr>
          <w:rFonts w:ascii="Chivo" w:hAnsi="Chivo"/>
          <w:color w:val="1E155D"/>
          <w:sz w:val="22"/>
        </w:rPr>
        <w:t>QR codes, kiosks, printed forms and SMS flows that bring consultations into the field (markets, community centres, town halls) and connect automatically back to the project, so offline engagement is a first-class citizen rather than an afterthought.</w:t>
      </w:r>
    </w:p>
    <w:p>
      <w:pPr>
        <w:pStyle w:val="ListBullet"/>
      </w:pPr>
      <w:r>
        <w:rPr>
          <w:rFonts w:ascii="Chivo" w:hAnsi="Chivo"/>
          <w:b/>
          <w:color w:val="1E155D"/>
          <w:sz w:val="22"/>
        </w:rPr>
        <w:t xml:space="preserve">Representativeness Dashboard. </w:t>
      </w:r>
      <w:r>
        <w:rPr>
          <w:rFonts w:ascii="Chivo" w:hAnsi="Chivo"/>
          <w:color w:val="1E155D"/>
          <w:sz w:val="22"/>
        </w:rPr>
        <w:t>Compare live participant demographics against your population baseline (census or equivalent), with visual gap indicators. Teams see early who they are reaching and who they are not — and can target outreach before results are published.</w:t>
      </w:r>
    </w:p>
    <w:p/>
    <w:tbl>
      <w:tblPr>
        <w:tblW w:type="auto" w:w="0"/>
        <w:tblLayout w:type="fixed"/>
        <w:tblLook w:firstColumn="1" w:firstRow="1" w:lastColumn="0" w:lastRow="0" w:noHBand="0" w:noVBand="1" w:val="04A0"/>
      </w:tblPr>
      <w:tblGrid>
        <w:gridCol w:w="1417"/>
        <w:gridCol w:w="7937"/>
      </w:tblGrid>
      <w:tr>
        <w:tc>
          <w:tcPr>
            <w:tcW w:type="dxa" w:w="1417"/>
            <w:shd w:fill="1E155D"/>
            <w:vAlign w:val="center"/>
          </w:tcPr>
          <w:p>
            <w:pPr>
              <w:jc w:val="center"/>
            </w:pPr>
            <w:r>
              <w:rPr>
                <w:rFonts w:ascii="Chivo" w:hAnsi="Chivo"/>
                <w:b/>
                <w:color w:val="FFFFFF"/>
                <w:sz w:val="64"/>
              </w:rPr>
              <w:t>2</w:t>
            </w:r>
          </w:p>
        </w:tc>
        <w:tc>
          <w:tcPr>
            <w:tcW w:type="dxa" w:w="7937"/>
            <w:shd w:fill="F0EEFA"/>
            <w:vAlign w:val="center"/>
          </w:tcPr>
          <w:p>
            <w:r>
              <w:rPr>
                <w:rFonts w:ascii="Chivo" w:hAnsi="Chivo"/>
                <w:b w:val="0"/>
                <w:color w:val="1E155D"/>
                <w:sz w:val="40"/>
              </w:rPr>
              <w:t xml:space="preserve">  Analysis &amp; reporting</w:t>
            </w:r>
          </w:p>
        </w:tc>
      </w:tr>
    </w:tbl>
    <w:p/>
    <w:p>
      <w:pPr>
        <w:spacing w:after="40"/>
      </w:pPr>
      <w:r>
        <w:rPr>
          <w:rFonts w:ascii="Chivo" w:hAnsi="Chivo"/>
          <w:b/>
          <w:color w:val="FF3E52"/>
          <w:sz w:val="24"/>
        </w:rPr>
        <w:t>The opportunity</w:t>
      </w:r>
    </w:p>
    <w:p>
      <w:pPr>
        <w:spacing w:after="120"/>
      </w:pPr>
      <w:r>
        <w:rPr>
          <w:rFonts w:ascii="Chivo" w:hAnsi="Chivo"/>
          <w:b w:val="0"/>
          <w:i w:val="0"/>
          <w:color w:val="1E155D"/>
          <w:sz w:val="22"/>
        </w:rPr>
        <w:t>We've heard a lot of client frustration about the time spent in spreadsheets doing qualitative analysis. Because Decidim doesn't offer in-product AI analysis, teams typically export thousands of contributions to Excel (or Metabase) and disappear for a few weeks to synthesise them by hand. The result is reports that are inconsistent in depth, slow to land with stakeholders, and hard to compare across projects. Go Vocal treats analysis and reporting as first-class product surfaces, so the heavy lifting happens inside the platform and the deliverables come out the other end.</w:t>
      </w:r>
    </w:p>
    <w:p>
      <w:pPr>
        <w:spacing w:before="200" w:after="40"/>
      </w:pPr>
      <w:r>
        <w:rPr>
          <w:rFonts w:ascii="Chivo" w:hAnsi="Chivo"/>
          <w:b/>
          <w:color w:val="FF3E52"/>
          <w:sz w:val="24"/>
        </w:rPr>
        <w:t>What we offer</w:t>
      </w:r>
    </w:p>
    <w:p>
      <w:pPr>
        <w:spacing w:after="120"/>
      </w:pPr>
      <w:r>
        <w:rPr>
          <w:rFonts w:ascii="Chivo" w:hAnsi="Chivo"/>
          <w:b w:val="0"/>
          <w:i w:val="0"/>
          <w:color w:val="1E155D"/>
          <w:sz w:val="22"/>
        </w:rPr>
        <w:t>Three capabilities that compress the analysis-to-report cycle from weeks to days.</w:t>
      </w:r>
    </w:p>
    <w:p>
      <w:pPr>
        <w:pStyle w:val="ListBullet"/>
      </w:pPr>
      <w:r>
        <w:rPr>
          <w:rFonts w:ascii="Chivo" w:hAnsi="Chivo"/>
          <w:b/>
          <w:color w:val="1E155D"/>
          <w:sz w:val="22"/>
        </w:rPr>
        <w:t xml:space="preserve">AI Sensemaking. </w:t>
      </w:r>
      <w:r>
        <w:rPr>
          <w:rFonts w:ascii="Chivo" w:hAnsi="Chivo"/>
          <w:color w:val="1E155D"/>
          <w:sz w:val="22"/>
        </w:rPr>
        <w:t>Auto-tagging, clustering and summarisation across thousands of open-text contributions — including cross-project themes — with every AI output traceable back to the original inputs so nothing becomes a black box.</w:t>
      </w:r>
    </w:p>
    <w:p>
      <w:pPr>
        <w:pStyle w:val="ListBullet"/>
      </w:pPr>
      <w:r>
        <w:rPr>
          <w:rFonts w:ascii="Chivo" w:hAnsi="Chivo"/>
          <w:b/>
          <w:color w:val="1E155D"/>
          <w:sz w:val="22"/>
        </w:rPr>
        <w:t xml:space="preserve">Demographic pattern detection. </w:t>
      </w:r>
      <w:r>
        <w:rPr>
          <w:rFonts w:ascii="Chivo" w:hAnsi="Chivo"/>
          <w:color w:val="1E155D"/>
          <w:sz w:val="22"/>
        </w:rPr>
        <w:t>Surface how opinions and priorities differ across segments (age, neighbourhood, language, etc.) without leaving the platform. Natural-language Q&amp;A lets non-analysts ask the data direct questions.</w:t>
      </w:r>
    </w:p>
    <w:p>
      <w:pPr>
        <w:pStyle w:val="ListBullet"/>
      </w:pPr>
      <w:r>
        <w:rPr>
          <w:rFonts w:ascii="Chivo" w:hAnsi="Chivo"/>
          <w:b/>
          <w:color w:val="1E155D"/>
          <w:sz w:val="22"/>
        </w:rPr>
        <w:t xml:space="preserve">Ready-made + custom report builder. </w:t>
      </w:r>
      <w:r>
        <w:rPr>
          <w:rFonts w:ascii="Chivo" w:hAnsi="Chivo"/>
          <w:color w:val="1E155D"/>
          <w:sz w:val="22"/>
        </w:rPr>
        <w:t>Pre-built report templates for each engagement method (survey, ideation, PB…) generate a branded draft in one click; the Report Builder then lets teams compose custom reports — embedded charts, quotes, narrative — without exporting to Word. Clients report ~55% reduction in reporting cycle time.</w:t>
      </w:r>
    </w:p>
    <w:p/>
    <w:tbl>
      <w:tblPr>
        <w:tblW w:type="auto" w:w="0"/>
        <w:tblLayout w:type="fixed"/>
        <w:tblLook w:firstColumn="1" w:firstRow="1" w:lastColumn="0" w:lastRow="0" w:noHBand="0" w:noVBand="1" w:val="04A0"/>
      </w:tblPr>
      <w:tblGrid>
        <w:gridCol w:w="1417"/>
        <w:gridCol w:w="7937"/>
      </w:tblGrid>
      <w:tr>
        <w:tc>
          <w:tcPr>
            <w:tcW w:type="dxa" w:w="1417"/>
            <w:shd w:fill="1E155D"/>
            <w:vAlign w:val="center"/>
          </w:tcPr>
          <w:p>
            <w:pPr>
              <w:jc w:val="center"/>
            </w:pPr>
            <w:r>
              <w:rPr>
                <w:rFonts w:ascii="Chivo" w:hAnsi="Chivo"/>
                <w:b/>
                <w:color w:val="FFFFFF"/>
                <w:sz w:val="64"/>
              </w:rPr>
              <w:t>3</w:t>
            </w:r>
          </w:p>
        </w:tc>
        <w:tc>
          <w:tcPr>
            <w:tcW w:type="dxa" w:w="7937"/>
            <w:shd w:fill="F0EEFA"/>
            <w:vAlign w:val="center"/>
          </w:tcPr>
          <w:p>
            <w:r>
              <w:rPr>
                <w:rFonts w:ascii="Chivo" w:hAnsi="Chivo"/>
                <w:b w:val="0"/>
                <w:color w:val="1E155D"/>
                <w:sz w:val="40"/>
              </w:rPr>
              <w:t xml:space="preserve">  Streamlined back-office workflows</w:t>
            </w:r>
          </w:p>
        </w:tc>
      </w:tr>
    </w:tbl>
    <w:p/>
    <w:p>
      <w:pPr>
        <w:spacing w:after="40"/>
      </w:pPr>
      <w:r>
        <w:rPr>
          <w:rFonts w:ascii="Chivo" w:hAnsi="Chivo"/>
          <w:b/>
          <w:color w:val="FF3E52"/>
          <w:sz w:val="24"/>
        </w:rPr>
        <w:t>The opportunity</w:t>
      </w:r>
    </w:p>
    <w:p>
      <w:pPr>
        <w:spacing w:after="120"/>
      </w:pPr>
      <w:r>
        <w:rPr>
          <w:rFonts w:ascii="Chivo" w:hAnsi="Chivo"/>
          <w:b w:val="0"/>
          <w:i w:val="0"/>
          <w:color w:val="1E155D"/>
          <w:sz w:val="22"/>
        </w:rPr>
        <w:t>Another thing we hear from OSP teams is that a lot of the operational side of participation lives outside the platform today — Grist bases for instruction, email threads for sign-offs, shared spreadsheets for project planning. It works, and it reflects real ingenuity, but it makes cross-team collaboration slower and leaves the audit trail scattered across tools. Go Vocal brings those workflows — not only the content — inside the platform, so a head of participation can see the full portfolio in one place.</w:t>
      </w:r>
    </w:p>
    <w:p>
      <w:pPr>
        <w:spacing w:before="200" w:after="40"/>
      </w:pPr>
      <w:r>
        <w:rPr>
          <w:rFonts w:ascii="Chivo" w:hAnsi="Chivo"/>
          <w:b/>
          <w:color w:val="FF3E52"/>
          <w:sz w:val="24"/>
        </w:rPr>
        <w:t>What we offer</w:t>
      </w:r>
    </w:p>
    <w:p>
      <w:pPr>
        <w:spacing w:after="120"/>
      </w:pPr>
      <w:r>
        <w:rPr>
          <w:rFonts w:ascii="Chivo" w:hAnsi="Chivo"/>
          <w:b w:val="0"/>
          <w:i w:val="0"/>
          <w:color w:val="1E155D"/>
          <w:sz w:val="22"/>
        </w:rPr>
        <w:t>Three capabilities that take the operational weight off the team.</w:t>
      </w:r>
    </w:p>
    <w:p>
      <w:pPr>
        <w:pStyle w:val="ListBullet"/>
      </w:pPr>
      <w:r>
        <w:rPr>
          <w:rFonts w:ascii="Chivo" w:hAnsi="Chivo"/>
          <w:b/>
          <w:color w:val="1E155D"/>
          <w:sz w:val="22"/>
        </w:rPr>
        <w:t xml:space="preserve">Publication &amp; approval workflows. </w:t>
      </w:r>
      <w:r>
        <w:rPr>
          <w:rFonts w:ascii="Chivo" w:hAnsi="Chivo"/>
          <w:color w:val="1E155D"/>
          <w:sz w:val="22"/>
        </w:rPr>
        <w:t>Configurable states (draft → review → publish) with roles mapped to departments, so nothing goes live without the right sign-offs. Audit logs and role-based access are part of the core platform, not a bolt-on.</w:t>
      </w:r>
    </w:p>
    <w:p>
      <w:pPr>
        <w:pStyle w:val="ListBullet"/>
      </w:pPr>
      <w:r>
        <w:rPr>
          <w:rFonts w:ascii="Chivo" w:hAnsi="Chivo"/>
          <w:b/>
          <w:color w:val="1E155D"/>
          <w:sz w:val="22"/>
        </w:rPr>
        <w:t xml:space="preserve">Project templates &amp; Gantt timelines. </w:t>
      </w:r>
      <w:r>
        <w:rPr>
          <w:rFonts w:ascii="Chivo" w:hAnsi="Chivo"/>
          <w:color w:val="1E155D"/>
          <w:sz w:val="22"/>
        </w:rPr>
        <w:t>Standardise how a participatory budget, consultation or petition is set up, and visualise phases, milestones and dependencies across concurrent projects directly in the admin — no side tool required.</w:t>
      </w:r>
    </w:p>
    <w:p>
      <w:pPr>
        <w:pStyle w:val="ListBullet"/>
      </w:pPr>
      <w:r>
        <w:rPr>
          <w:rFonts w:ascii="Chivo" w:hAnsi="Chivo"/>
          <w:b/>
          <w:color w:val="1E155D"/>
          <w:sz w:val="22"/>
        </w:rPr>
        <w:t xml:space="preserve">Outreach &amp; internal collaboration. </w:t>
      </w:r>
      <w:r>
        <w:rPr>
          <w:rFonts w:ascii="Chivo" w:hAnsi="Chivo"/>
          <w:color w:val="1E155D"/>
          <w:sz w:val="22"/>
        </w:rPr>
        <w:t>Segmented email campaigns, automated invites and reminders, smart groups and in-platform collaboration keep outreach and coordination on a single system instead of in separate mailing tools and email threads.</w:t>
      </w:r>
    </w:p>
    <w:p/>
    <w:tbl>
      <w:tblPr>
        <w:tblW w:type="auto" w:w="0"/>
        <w:tblLayout w:type="fixed"/>
        <w:tblLook w:firstColumn="1" w:firstRow="1" w:lastColumn="0" w:lastRow="0" w:noHBand="0" w:noVBand="1" w:val="04A0"/>
      </w:tblPr>
      <w:tblGrid>
        <w:gridCol w:w="1417"/>
        <w:gridCol w:w="7937"/>
      </w:tblGrid>
      <w:tr>
        <w:tc>
          <w:tcPr>
            <w:tcW w:type="dxa" w:w="1417"/>
            <w:shd w:fill="1E155D"/>
            <w:vAlign w:val="center"/>
          </w:tcPr>
          <w:p>
            <w:pPr>
              <w:jc w:val="center"/>
            </w:pPr>
            <w:r>
              <w:rPr>
                <w:rFonts w:ascii="Chivo" w:hAnsi="Chivo"/>
                <w:b/>
                <w:color w:val="FFFFFF"/>
                <w:sz w:val="64"/>
              </w:rPr>
              <w:t>4</w:t>
            </w:r>
          </w:p>
        </w:tc>
        <w:tc>
          <w:tcPr>
            <w:tcW w:type="dxa" w:w="7937"/>
            <w:shd w:fill="F0EEFA"/>
            <w:vAlign w:val="center"/>
          </w:tcPr>
          <w:p>
            <w:r>
              <w:rPr>
                <w:rFonts w:ascii="Chivo" w:hAnsi="Chivo"/>
                <w:b w:val="0"/>
                <w:color w:val="1E155D"/>
                <w:sz w:val="40"/>
              </w:rPr>
              <w:t xml:space="preserve">  Interactive engagement, UX &amp; CMS</w:t>
            </w:r>
          </w:p>
        </w:tc>
      </w:tr>
    </w:tbl>
    <w:p/>
    <w:p>
      <w:pPr>
        <w:spacing w:after="40"/>
      </w:pPr>
      <w:r>
        <w:rPr>
          <w:rFonts w:ascii="Chivo" w:hAnsi="Chivo"/>
          <w:b/>
          <w:color w:val="FF3E52"/>
          <w:sz w:val="24"/>
        </w:rPr>
        <w:t>The opportunity</w:t>
      </w:r>
    </w:p>
    <w:p>
      <w:pPr>
        <w:spacing w:after="120"/>
      </w:pPr>
      <w:r>
        <w:rPr>
          <w:rFonts w:ascii="Chivo" w:hAnsi="Chivo"/>
          <w:b w:val="0"/>
          <w:i w:val="0"/>
          <w:color w:val="1E155D"/>
          <w:sz w:val="22"/>
        </w:rPr>
        <w:t>Two out of three residents now visit participation platforms on a phone, which makes the experience itself a participation feature: it needs to feel delightful to land in, easy to move through, and worth finishing. Go Vocal is designed around that reality — horizontal carousels instead of endless vertical scroll, lightweight animations that guide the eye, and a homepage that adapts to each resident's interests and neighbourhood so the projects most relevant to them surface first. This is not a technical afterthought: an accessible, well-designed user experience drives higher conversion, more participation, and, in the end, higher levels of trust in the institution behind it. Paired with no-code CMS builders, your team can shape that experience without developers in the loop.</w:t>
      </w:r>
    </w:p>
    <w:p>
      <w:pPr>
        <w:spacing w:before="200" w:after="40"/>
      </w:pPr>
      <w:r>
        <w:rPr>
          <w:rFonts w:ascii="Chivo" w:hAnsi="Chivo"/>
          <w:b/>
          <w:color w:val="FF3E52"/>
          <w:sz w:val="24"/>
        </w:rPr>
        <w:t>What we offer</w:t>
      </w:r>
    </w:p>
    <w:p>
      <w:pPr>
        <w:spacing w:after="120"/>
      </w:pPr>
      <w:r>
        <w:rPr>
          <w:rFonts w:ascii="Chivo" w:hAnsi="Chivo"/>
          <w:b w:val="0"/>
          <w:i w:val="0"/>
          <w:color w:val="1E155D"/>
          <w:sz w:val="22"/>
        </w:rPr>
        <w:t>Three capabilities that together make the resident experience delightful, and the admin experience simple.</w:t>
      </w:r>
    </w:p>
    <w:p>
      <w:pPr>
        <w:pStyle w:val="ListBullet"/>
      </w:pPr>
      <w:r>
        <w:rPr>
          <w:rFonts w:ascii="Chivo" w:hAnsi="Chivo"/>
          <w:b/>
          <w:color w:val="1E155D"/>
          <w:sz w:val="22"/>
        </w:rPr>
        <w:t xml:space="preserve">Mobile-first, adaptive resident UX. </w:t>
      </w:r>
      <w:r>
        <w:rPr>
          <w:rFonts w:ascii="Chivo" w:hAnsi="Chivo"/>
          <w:color w:val="1E155D"/>
          <w:sz w:val="22"/>
        </w:rPr>
        <w:t>Fully white-labelled, WCAG 2.2 AA compliant experience designed for non-technical residents — with horizontal carousels, micro-animations, and a personalised homepage that surfaces projects based on a resident's interests and neighbourhood.</w:t>
      </w:r>
    </w:p>
    <w:p>
      <w:pPr>
        <w:pStyle w:val="ListBullet"/>
      </w:pPr>
      <w:r>
        <w:rPr>
          <w:rFonts w:ascii="Chivo" w:hAnsi="Chivo"/>
          <w:b/>
          <w:color w:val="1E155D"/>
          <w:sz w:val="22"/>
        </w:rPr>
        <w:t xml:space="preserve">Three no-code builders (CMS). </w:t>
      </w:r>
      <w:r>
        <w:rPr>
          <w:rFonts w:ascii="Chivo" w:hAnsi="Chivo"/>
          <w:color w:val="1E155D"/>
          <w:sz w:val="22"/>
        </w:rPr>
        <w:t>Content Builder, Form / Survey Builder and Report Builder — drag-and-drop tools that let the participation team design project pages, rich surveys (with conditional logic and map questions) and living reports, all without developer support.</w:t>
      </w:r>
    </w:p>
    <w:p>
      <w:pPr>
        <w:pStyle w:val="ListBullet"/>
      </w:pPr>
      <w:r>
        <w:rPr>
          <w:rFonts w:ascii="Chivo" w:hAnsi="Chivo"/>
          <w:b/>
          <w:color w:val="1E155D"/>
          <w:sz w:val="22"/>
        </w:rPr>
        <w:t xml:space="preserve">Rich interactive formats. </w:t>
      </w:r>
      <w:r>
        <w:rPr>
          <w:rFonts w:ascii="Chivo" w:hAnsi="Chivo"/>
          <w:color w:val="1E155D"/>
          <w:sz w:val="22"/>
        </w:rPr>
        <w:t>Engagement methods that hold attention: Perspectives for structured side-by-side trade-offs, polygon and line drawing on interactive maps, and survey questions that combine text, image and geography in one flow.</w:t>
      </w:r>
    </w:p>
    <w:p/>
    <w:tbl>
      <w:tblPr>
        <w:tblW w:type="auto" w:w="0"/>
        <w:tblLayout w:type="fixed"/>
        <w:tblLook w:firstColumn="1" w:firstRow="1" w:lastColumn="0" w:lastRow="0" w:noHBand="0" w:noVBand="1" w:val="04A0"/>
      </w:tblPr>
      <w:tblGrid>
        <w:gridCol w:w="1417"/>
        <w:gridCol w:w="7937"/>
      </w:tblGrid>
      <w:tr>
        <w:tc>
          <w:tcPr>
            <w:tcW w:type="dxa" w:w="1417"/>
            <w:shd w:fill="1E155D"/>
            <w:vAlign w:val="center"/>
          </w:tcPr>
          <w:p>
            <w:pPr>
              <w:jc w:val="center"/>
            </w:pPr>
            <w:r>
              <w:rPr>
                <w:rFonts w:ascii="Chivo" w:hAnsi="Chivo"/>
                <w:b/>
                <w:color w:val="FFFFFF"/>
                <w:sz w:val="64"/>
              </w:rPr>
              <w:t>5</w:t>
            </w:r>
          </w:p>
        </w:tc>
        <w:tc>
          <w:tcPr>
            <w:tcW w:type="dxa" w:w="7937"/>
            <w:shd w:fill="F0EEFA"/>
            <w:vAlign w:val="center"/>
          </w:tcPr>
          <w:p>
            <w:r>
              <w:rPr>
                <w:rFonts w:ascii="Chivo" w:hAnsi="Chivo"/>
                <w:b w:val="0"/>
                <w:color w:val="1E155D"/>
                <w:sz w:val="40"/>
              </w:rPr>
              <w:t xml:space="preserve">  Roadmap velocity, community &amp; success</w:t>
            </w:r>
          </w:p>
        </w:tc>
      </w:tr>
    </w:tbl>
    <w:p/>
    <w:p>
      <w:pPr>
        <w:spacing w:after="40"/>
      </w:pPr>
      <w:r>
        <w:rPr>
          <w:rFonts w:ascii="Chivo" w:hAnsi="Chivo"/>
          <w:b/>
          <w:color w:val="FF3E52"/>
          <w:sz w:val="24"/>
        </w:rPr>
        <w:t>The opportunity</w:t>
      </w:r>
    </w:p>
    <w:p>
      <w:pPr>
        <w:spacing w:after="120"/>
      </w:pPr>
      <w:r>
        <w:rPr>
          <w:rFonts w:ascii="Chivo" w:hAnsi="Chivo"/>
          <w:b w:val="0"/>
          <w:i w:val="0"/>
          <w:color w:val="1E155D"/>
          <w:sz w:val="22"/>
        </w:rPr>
        <w:t>One of the less visible shifts in moving from Decidim to Go Vocal is how the product evolves, and how you're supported around it. Working with an open-source community is rewarding, but product velocity naturally depends on distributed volunteer contributions and coordination across many stakeholders. With Go Vocal, there's a dedicated 15-person product team building full-time, in close partnership with clients: features are co-designed with you, shipped quickly, and rolled out to everyone at once. Around the product, we invest deliberately in a community of practice and a dedicated success service — because the tool alone isn't what creates outcomes; what clients do with it, with the right support around them, is.</w:t>
      </w:r>
    </w:p>
    <w:p>
      <w:pPr>
        <w:spacing w:before="200" w:after="40"/>
      </w:pPr>
      <w:r>
        <w:rPr>
          <w:rFonts w:ascii="Chivo" w:hAnsi="Chivo"/>
          <w:b/>
          <w:color w:val="FF3E52"/>
          <w:sz w:val="24"/>
        </w:rPr>
        <w:t>What we offer</w:t>
      </w:r>
    </w:p>
    <w:p>
      <w:pPr>
        <w:spacing w:after="120"/>
      </w:pPr>
      <w:r>
        <w:rPr>
          <w:rFonts w:ascii="Chivo" w:hAnsi="Chivo"/>
          <w:b w:val="0"/>
          <w:i w:val="0"/>
          <w:color w:val="1E155D"/>
          <w:sz w:val="22"/>
        </w:rPr>
        <w:t>Three commitments that make the speed of improvement, and the depth of support, tangible in practice.</w:t>
      </w:r>
    </w:p>
    <w:p>
      <w:pPr>
        <w:pStyle w:val="ListBullet"/>
      </w:pPr>
      <w:r>
        <w:rPr>
          <w:rFonts w:ascii="Chivo" w:hAnsi="Chivo"/>
          <w:b/>
          <w:color w:val="1E155D"/>
          <w:sz w:val="22"/>
        </w:rPr>
        <w:t xml:space="preserve">Client-led roadmap, shipped fast. </w:t>
      </w:r>
      <w:r>
        <w:rPr>
          <w:rFonts w:ascii="Chivo" w:hAnsi="Chivo"/>
          <w:color w:val="1E155D"/>
          <w:sz w:val="22"/>
        </w:rPr>
        <w:t>A dedicated 15-person product team, with a transparent roadmap influenced by a client council. Co-design sessions run with clients throughout the year, and new features reach everyone on the platform the moment they ship — no deployment project on your end.</w:t>
      </w:r>
    </w:p>
    <w:p>
      <w:pPr>
        <w:pStyle w:val="ListBullet"/>
      </w:pPr>
      <w:r>
        <w:rPr>
          <w:rFonts w:ascii="Chivo" w:hAnsi="Chivo"/>
          <w:b/>
          <w:color w:val="1E155D"/>
          <w:sz w:val="22"/>
        </w:rPr>
        <w:t xml:space="preserve">Regional community of practice. </w:t>
      </w:r>
      <w:r>
        <w:rPr>
          <w:rFonts w:ascii="Chivo" w:hAnsi="Chivo"/>
          <w:color w:val="1E155D"/>
          <w:sz w:val="22"/>
        </w:rPr>
        <w:t>Monthly online sessions per region, each focused on a specific topic (e.g. participatory budgeting, representativeness, AI in participation) where clients exchange experience openly. Complemented by an in-product Inspiration Hub, where you can browse how other local governments in your region have run a similar project — so teams don't have to start from scratch.</w:t>
      </w:r>
    </w:p>
    <w:p>
      <w:pPr>
        <w:pStyle w:val="ListBullet"/>
      </w:pPr>
      <w:r>
        <w:rPr>
          <w:rFonts w:ascii="Chivo" w:hAnsi="Chivo"/>
          <w:b/>
          <w:color w:val="1E155D"/>
          <w:sz w:val="22"/>
        </w:rPr>
        <w:t xml:space="preserve">Dedicated GovSuccess Manager. </w:t>
      </w:r>
      <w:r>
        <w:rPr>
          <w:rFonts w:ascii="Chivo" w:hAnsi="Chivo"/>
          <w:color w:val="1E155D"/>
          <w:sz w:val="22"/>
        </w:rPr>
        <w:t>A named GovSuccess Manager walks alongside your team: quarterly data and impact reports, help with project design, strategic reviews, and escalation into the product team when needed. We measure ourselves on outcomes, not on feature delivery.</w:t>
      </w:r>
    </w:p>
    <w:p/>
    <w:p>
      <w:r>
        <w:br w:type="page"/>
      </w:r>
    </w:p>
    <w:p>
      <w:pPr>
        <w:spacing w:before="360" w:after="240"/>
      </w:pPr>
      <w:r>
        <w:rPr>
          <w:rFonts w:ascii="Chivo" w:hAnsi="Chivo"/>
          <w:b w:val="0"/>
          <w:color w:val="1E155D"/>
          <w:sz w:val="56"/>
        </w:rPr>
        <w:t>Section B — Side-by-side comparison</w:t>
      </w:r>
    </w:p>
    <w:p>
      <w:pPr>
        <w:spacing w:after="120"/>
      </w:pPr>
      <w:r>
        <w:rPr>
          <w:rFonts w:ascii="Chivo" w:hAnsi="Chivo"/>
          <w:b w:val="0"/>
          <w:i w:val="0"/>
          <w:color w:val="1E155D"/>
          <w:sz w:val="22"/>
        </w:rPr>
        <w:t>A factual view across the topics that come up most often in migration conversations. Where Decidim does something well today, or where Go Vocal isn't there yet, we say so — the aim of this table is to help your team make an informed internal comparison, not to present a sales pitch.</w:t>
      </w:r>
    </w:p>
    <w:tbl>
      <w:tblPr>
        <w:tblW w:type="auto" w:w="0"/>
        <w:jc w:val="center"/>
        <w:tblLayout w:type="fixed"/>
        <w:tblLook w:firstColumn="1" w:firstRow="1" w:lastColumn="0" w:lastRow="0" w:noHBand="0" w:noVBand="1" w:val="04A0"/>
      </w:tblPr>
      <w:tblGrid>
        <w:gridCol w:w="3137"/>
        <w:gridCol w:w="3137"/>
        <w:gridCol w:w="3137"/>
      </w:tblGrid>
      <w:tr>
        <w:tc>
          <w:tcPr>
            <w:tcW w:type="dxa" w:w="2551"/>
            <w:shd w:fill="1E155D"/>
          </w:tcPr>
          <w:p>
            <w:r>
              <w:rPr>
                <w:rFonts w:ascii="Chivo" w:hAnsi="Chivo"/>
                <w:b/>
                <w:color w:val="FFFFFF"/>
                <w:sz w:val="20"/>
              </w:rPr>
              <w:t>Topic</w:t>
            </w:r>
          </w:p>
        </w:tc>
        <w:tc>
          <w:tcPr>
            <w:tcW w:type="dxa" w:w="3685"/>
            <w:shd w:fill="1E155D"/>
          </w:tcPr>
          <w:p>
            <w:r>
              <w:rPr>
                <w:rFonts w:ascii="Chivo" w:hAnsi="Chivo"/>
                <w:b/>
                <w:color w:val="FFFFFF"/>
                <w:sz w:val="20"/>
              </w:rPr>
              <w:t>Go Vocal</w:t>
            </w:r>
          </w:p>
        </w:tc>
        <w:tc>
          <w:tcPr>
            <w:tcW w:type="dxa" w:w="3685"/>
            <w:shd w:fill="1E155D"/>
          </w:tcPr>
          <w:p>
            <w:r>
              <w:rPr>
                <w:rFonts w:ascii="Chivo" w:hAnsi="Chivo"/>
                <w:b/>
                <w:color w:val="FFFFFF"/>
                <w:sz w:val="20"/>
              </w:rPr>
              <w:t>Decidim (OSP-hosted)</w:t>
            </w:r>
          </w:p>
        </w:tc>
      </w:tr>
      <w:tr>
        <w:tc>
          <w:tcPr>
            <w:tcW w:type="dxa" w:w="2551"/>
            <w:shd w:fill="F0EEFA"/>
          </w:tcPr>
          <w:p>
            <w:r>
              <w:rPr>
                <w:rFonts w:ascii="Chivo" w:hAnsi="Chivo"/>
                <w:b/>
                <w:color w:val="1E155D"/>
                <w:sz w:val="18"/>
              </w:rPr>
              <w:t>Product model</w:t>
            </w:r>
          </w:p>
        </w:tc>
        <w:tc>
          <w:tcPr>
            <w:tcW w:type="dxa" w:w="3685"/>
            <w:shd w:fill="FFFFFF"/>
          </w:tcPr>
          <w:p>
            <w:r>
              <w:rPr>
                <w:rFonts w:ascii="Chivo" w:hAnsi="Chivo"/>
                <w:b w:val="0"/>
                <w:color w:val="1E155D"/>
                <w:sz w:val="18"/>
              </w:rPr>
              <w:t>Fully managed SaaS: live in days, automatic updates and patches, vendor-owned uptime.</w:t>
            </w:r>
          </w:p>
        </w:tc>
        <w:tc>
          <w:tcPr>
            <w:tcW w:type="dxa" w:w="3685"/>
            <w:shd w:fill="F7F7F7"/>
          </w:tcPr>
          <w:p>
            <w:r>
              <w:rPr>
                <w:rFonts w:ascii="Chivo" w:hAnsi="Chivo"/>
                <w:b w:val="0"/>
                <w:color w:val="1E155D"/>
                <w:sz w:val="18"/>
              </w:rPr>
              <w:t>Self-hosted open-source framework. Requires Ruby on Rails expertise and continuous maintenance by OSP or your own team.</w:t>
            </w:r>
          </w:p>
        </w:tc>
      </w:tr>
      <w:tr>
        <w:tc>
          <w:tcPr>
            <w:tcW w:type="dxa" w:w="2551"/>
            <w:shd w:fill="F0EEFA"/>
          </w:tcPr>
          <w:p>
            <w:r>
              <w:rPr>
                <w:rFonts w:ascii="Chivo" w:hAnsi="Chivo"/>
                <w:b/>
                <w:color w:val="1E155D"/>
                <w:sz w:val="18"/>
              </w:rPr>
              <w:t>Engagement toolbox</w:t>
            </w:r>
          </w:p>
        </w:tc>
        <w:tc>
          <w:tcPr>
            <w:tcW w:type="dxa" w:w="3685"/>
            <w:shd w:fill="FFFFFF"/>
          </w:tcPr>
          <w:p>
            <w:r>
              <w:rPr>
                <w:rFonts w:ascii="Chivo" w:hAnsi="Chivo"/>
                <w:b w:val="0"/>
                <w:color w:val="1E155D"/>
                <w:sz w:val="18"/>
              </w:rPr>
              <w:t>Complete native toolbox: surveys, ideation, mapping, voting, participatory budgeting, petitions (incl. co-authoring &amp; eligibility review, see Copenhagen), volunteering, polls, perspectives.</w:t>
            </w:r>
          </w:p>
        </w:tc>
        <w:tc>
          <w:tcPr>
            <w:tcW w:type="dxa" w:w="3685"/>
            <w:shd w:fill="F7F7F7"/>
          </w:tcPr>
          <w:p>
            <w:r>
              <w:rPr>
                <w:rFonts w:ascii="Chivo" w:hAnsi="Chivo"/>
                <w:b w:val="0"/>
                <w:color w:val="1E155D"/>
                <w:sz w:val="18"/>
              </w:rPr>
              <w:t>Core modules (surveys, ideation, meetings, PB, petitions). Additional methods rely on community plugins of varying maintenance. Native mapping is limited.</w:t>
            </w:r>
          </w:p>
        </w:tc>
      </w:tr>
      <w:tr>
        <w:tc>
          <w:tcPr>
            <w:tcW w:type="dxa" w:w="2551"/>
            <w:shd w:fill="F0EEFA"/>
          </w:tcPr>
          <w:p>
            <w:r>
              <w:rPr>
                <w:rFonts w:ascii="Chivo" w:hAnsi="Chivo"/>
                <w:b/>
                <w:color w:val="1E155D"/>
                <w:sz w:val="18"/>
              </w:rPr>
              <w:t>AI sensemaking &amp; reporting</w:t>
            </w:r>
          </w:p>
        </w:tc>
        <w:tc>
          <w:tcPr>
            <w:tcW w:type="dxa" w:w="3685"/>
            <w:shd w:fill="FFFFFF"/>
          </w:tcPr>
          <w:p>
            <w:r>
              <w:rPr>
                <w:rFonts w:ascii="Chivo" w:hAnsi="Chivo"/>
                <w:b w:val="0"/>
                <w:color w:val="1E155D"/>
                <w:sz w:val="18"/>
              </w:rPr>
              <w:t>Built-in AI Sensemaking across open-text, with ready-made reports and a Report Builder. ~55% reporting-time reduction reported by clients.</w:t>
            </w:r>
          </w:p>
        </w:tc>
        <w:tc>
          <w:tcPr>
            <w:tcW w:type="dxa" w:w="3685"/>
            <w:shd w:fill="F7F7F7"/>
          </w:tcPr>
          <w:p>
            <w:r>
              <w:rPr>
                <w:rFonts w:ascii="Chivo" w:hAnsi="Chivo"/>
                <w:b w:val="0"/>
                <w:color w:val="1E155D"/>
                <w:sz w:val="18"/>
              </w:rPr>
              <w:t>No native AI. Analytics limited to basic dashboards. Advanced analysis typically requires exporting and using external tools.</w:t>
            </w:r>
          </w:p>
        </w:tc>
      </w:tr>
      <w:tr>
        <w:tc>
          <w:tcPr>
            <w:tcW w:type="dxa" w:w="2551"/>
            <w:shd w:fill="F0EEFA"/>
          </w:tcPr>
          <w:p>
            <w:r>
              <w:rPr>
                <w:rFonts w:ascii="Chivo" w:hAnsi="Chivo"/>
                <w:b/>
                <w:color w:val="1E155D"/>
                <w:sz w:val="18"/>
              </w:rPr>
              <w:t>Offline &amp; inclusive engagement</w:t>
            </w:r>
          </w:p>
        </w:tc>
        <w:tc>
          <w:tcPr>
            <w:tcW w:type="dxa" w:w="3685"/>
            <w:shd w:fill="FFFFFF"/>
          </w:tcPr>
          <w:p>
            <w:r>
              <w:rPr>
                <w:rFonts w:ascii="Chivo" w:hAnsi="Chivo"/>
                <w:b w:val="0"/>
                <w:color w:val="1E155D"/>
                <w:sz w:val="18"/>
              </w:rPr>
              <w:t>360° Input Portal unifies online + offline. FormSync (OCR), ECHO (meeting transcription), representativeness dashboard — everything feeds one dataset.</w:t>
            </w:r>
          </w:p>
        </w:tc>
        <w:tc>
          <w:tcPr>
            <w:tcW w:type="dxa" w:w="3685"/>
            <w:shd w:fill="F7F7F7"/>
          </w:tcPr>
          <w:p>
            <w:r>
              <w:rPr>
                <w:rFonts w:ascii="Chivo" w:hAnsi="Chivo"/>
                <w:b w:val="0"/>
                <w:color w:val="1E155D"/>
                <w:sz w:val="18"/>
              </w:rPr>
              <w:t>Primarily digital. Offline input is re-keyed by staff. No built-in OCR, speech-to-text, or unified offline-online pipeline.</w:t>
            </w:r>
          </w:p>
        </w:tc>
      </w:tr>
      <w:tr>
        <w:tc>
          <w:tcPr>
            <w:tcW w:type="dxa" w:w="2551"/>
            <w:shd w:fill="F0EEFA"/>
          </w:tcPr>
          <w:p>
            <w:r>
              <w:rPr>
                <w:rFonts w:ascii="Chivo" w:hAnsi="Chivo"/>
                <w:b/>
                <w:color w:val="1E155D"/>
                <w:sz w:val="18"/>
              </w:rPr>
              <w:t>Back-office workflows</w:t>
            </w:r>
          </w:p>
        </w:tc>
        <w:tc>
          <w:tcPr>
            <w:tcW w:type="dxa" w:w="3685"/>
            <w:shd w:fill="FFFFFF"/>
          </w:tcPr>
          <w:p>
            <w:r>
              <w:rPr>
                <w:rFonts w:ascii="Chivo" w:hAnsi="Chivo"/>
                <w:b w:val="0"/>
                <w:color w:val="1E155D"/>
                <w:sz w:val="18"/>
              </w:rPr>
              <w:t>Approval flows, Gantt timelines, project templates, smart groups, email campaigns and internal collaboration — native.</w:t>
            </w:r>
          </w:p>
        </w:tc>
        <w:tc>
          <w:tcPr>
            <w:tcW w:type="dxa" w:w="3685"/>
            <w:shd w:fill="F7F7F7"/>
          </w:tcPr>
          <w:p>
            <w:r>
              <w:rPr>
                <w:rFonts w:ascii="Chivo" w:hAnsi="Chivo"/>
                <w:b w:val="0"/>
                <w:color w:val="1E155D"/>
                <w:sz w:val="18"/>
              </w:rPr>
              <w:t>Admin panel covers basics (roles, global email). Workflow tooling typically lives outside the platform (e.g. Grist).</w:t>
            </w:r>
          </w:p>
        </w:tc>
      </w:tr>
      <w:tr>
        <w:tc>
          <w:tcPr>
            <w:tcW w:type="dxa" w:w="2551"/>
            <w:shd w:fill="F0EEFA"/>
          </w:tcPr>
          <w:p>
            <w:r>
              <w:rPr>
                <w:rFonts w:ascii="Chivo" w:hAnsi="Chivo"/>
                <w:b/>
                <w:color w:val="1E155D"/>
                <w:sz w:val="18"/>
              </w:rPr>
              <w:t>UX for residents</w:t>
            </w:r>
          </w:p>
        </w:tc>
        <w:tc>
          <w:tcPr>
            <w:tcW w:type="dxa" w:w="3685"/>
            <w:shd w:fill="FFFFFF"/>
          </w:tcPr>
          <w:p>
            <w:r>
              <w:rPr>
                <w:rFonts w:ascii="Chivo" w:hAnsi="Chivo"/>
                <w:b w:val="0"/>
                <w:color w:val="1E155D"/>
                <w:sz w:val="18"/>
              </w:rPr>
              <w:t>Mobile-first, white-label, carousels, personalised homepage, WCAG 2.2 AA.</w:t>
            </w:r>
          </w:p>
        </w:tc>
        <w:tc>
          <w:tcPr>
            <w:tcW w:type="dxa" w:w="3685"/>
            <w:shd w:fill="F7F7F7"/>
          </w:tcPr>
          <w:p>
            <w:r>
              <w:rPr>
                <w:rFonts w:ascii="Chivo" w:hAnsi="Chivo"/>
                <w:b w:val="0"/>
                <w:color w:val="1E155D"/>
                <w:sz w:val="18"/>
              </w:rPr>
              <w:t>Functional UI, developer-oriented, long-scroll pages; customisation generally requires code.</w:t>
            </w:r>
          </w:p>
        </w:tc>
      </w:tr>
      <w:tr>
        <w:tc>
          <w:tcPr>
            <w:tcW w:type="dxa" w:w="2551"/>
            <w:shd w:fill="F0EEFA"/>
          </w:tcPr>
          <w:p>
            <w:r>
              <w:rPr>
                <w:rFonts w:ascii="Chivo" w:hAnsi="Chivo"/>
                <w:b/>
                <w:color w:val="1E155D"/>
                <w:sz w:val="18"/>
              </w:rPr>
              <w:t>No-code builders (CMS)</w:t>
            </w:r>
          </w:p>
        </w:tc>
        <w:tc>
          <w:tcPr>
            <w:tcW w:type="dxa" w:w="3685"/>
            <w:shd w:fill="FFFFFF"/>
          </w:tcPr>
          <w:p>
            <w:r>
              <w:rPr>
                <w:rFonts w:ascii="Chivo" w:hAnsi="Chivo"/>
                <w:b w:val="0"/>
                <w:color w:val="1E155D"/>
                <w:sz w:val="18"/>
              </w:rPr>
              <w:t>Content Builder, Form / Survey Builder, Report Builder — all drag-and-drop, no developers in the loop.</w:t>
            </w:r>
          </w:p>
        </w:tc>
        <w:tc>
          <w:tcPr>
            <w:tcW w:type="dxa" w:w="3685"/>
            <w:shd w:fill="F7F7F7"/>
          </w:tcPr>
          <w:p>
            <w:r>
              <w:rPr>
                <w:rFonts w:ascii="Chivo" w:hAnsi="Chivo"/>
                <w:b w:val="0"/>
                <w:color w:val="1E155D"/>
                <w:sz w:val="18"/>
              </w:rPr>
              <w:t>Limited no-code design tools. Most customisation requires template/code changes.</w:t>
            </w:r>
          </w:p>
        </w:tc>
      </w:tr>
      <w:tr>
        <w:tc>
          <w:tcPr>
            <w:tcW w:type="dxa" w:w="2551"/>
            <w:shd w:fill="F0EEFA"/>
          </w:tcPr>
          <w:p>
            <w:r>
              <w:rPr>
                <w:rFonts w:ascii="Chivo" w:hAnsi="Chivo"/>
                <w:b/>
                <w:color w:val="1E155D"/>
                <w:sz w:val="18"/>
              </w:rPr>
              <w:t>Petition features</w:t>
            </w:r>
          </w:p>
        </w:tc>
        <w:tc>
          <w:tcPr>
            <w:tcW w:type="dxa" w:w="3685"/>
            <w:shd w:fill="FFFFFF"/>
          </w:tcPr>
          <w:p>
            <w:r>
              <w:rPr>
                <w:rFonts w:ascii="Chivo" w:hAnsi="Chivo"/>
                <w:b w:val="0"/>
                <w:color w:val="1E155D"/>
                <w:sz w:val="18"/>
              </w:rPr>
              <w:t>Native petition module used by the City of Copenhagen: co-authoring (multiple sponsors), eligibility reviews, signature thresholds, institutional response workflow.</w:t>
            </w:r>
          </w:p>
        </w:tc>
        <w:tc>
          <w:tcPr>
            <w:tcW w:type="dxa" w:w="3685"/>
            <w:shd w:fill="F7F7F7"/>
          </w:tcPr>
          <w:p>
            <w:r>
              <w:rPr>
                <w:rFonts w:ascii="Chivo" w:hAnsi="Chivo"/>
                <w:b w:val="0"/>
                <w:color w:val="1E155D"/>
                <w:sz w:val="18"/>
              </w:rPr>
              <w:t>Petition module available, but without native co-authoring and eligibility-review workflow.</w:t>
            </w:r>
          </w:p>
        </w:tc>
      </w:tr>
      <w:tr>
        <w:tc>
          <w:tcPr>
            <w:tcW w:type="dxa" w:w="2551"/>
            <w:shd w:fill="F0EEFA"/>
          </w:tcPr>
          <w:p>
            <w:r>
              <w:rPr>
                <w:rFonts w:ascii="Chivo" w:hAnsi="Chivo"/>
                <w:b/>
                <w:color w:val="1E155D"/>
                <w:sz w:val="18"/>
              </w:rPr>
              <w:t>Merging of ideas / proposals</w:t>
            </w:r>
          </w:p>
        </w:tc>
        <w:tc>
          <w:tcPr>
            <w:tcW w:type="dxa" w:w="3685"/>
            <w:shd w:fill="FFFFFF"/>
          </w:tcPr>
          <w:p>
            <w:r>
              <w:rPr>
                <w:rFonts w:ascii="Chivo" w:hAnsi="Chivo"/>
                <w:b w:val="0"/>
                <w:color w:val="1E155D"/>
                <w:sz w:val="18"/>
              </w:rPr>
              <w:t>Not natively supported today — ideas can be linked and tagged, but not merged into a single proposal record.</w:t>
            </w:r>
          </w:p>
        </w:tc>
        <w:tc>
          <w:tcPr>
            <w:tcW w:type="dxa" w:w="3685"/>
            <w:shd w:fill="F7F7F7"/>
          </w:tcPr>
          <w:p>
            <w:r>
              <w:rPr>
                <w:rFonts w:ascii="Chivo" w:hAnsi="Chivo"/>
                <w:b w:val="0"/>
                <w:color w:val="1E155D"/>
                <w:sz w:val="18"/>
              </w:rPr>
              <w:t>Ideas can be merged natively at the admin level — a genuine Decidim strength for PB/ideation workflows.</w:t>
            </w:r>
          </w:p>
        </w:tc>
      </w:tr>
      <w:tr>
        <w:tc>
          <w:tcPr>
            <w:tcW w:type="dxa" w:w="2551"/>
            <w:shd w:fill="F0EEFA"/>
          </w:tcPr>
          <w:p>
            <w:r>
              <w:rPr>
                <w:rFonts w:ascii="Chivo" w:hAnsi="Chivo"/>
                <w:b/>
                <w:color w:val="1E155D"/>
                <w:sz w:val="18"/>
              </w:rPr>
              <w:t>Voter verification</w:t>
            </w:r>
          </w:p>
        </w:tc>
        <w:tc>
          <w:tcPr>
            <w:tcW w:type="dxa" w:w="3685"/>
            <w:shd w:fill="FFFFFF"/>
          </w:tcPr>
          <w:p>
            <w:r>
              <w:rPr>
                <w:rFonts w:ascii="Chivo" w:hAnsi="Chivo"/>
                <w:b w:val="0"/>
                <w:color w:val="1E155D"/>
                <w:sz w:val="18"/>
              </w:rPr>
              <w:t>FranceConnect, SSO, email-based verification live today. SMS verification planned for Q2 2026.</w:t>
            </w:r>
          </w:p>
        </w:tc>
        <w:tc>
          <w:tcPr>
            <w:tcW w:type="dxa" w:w="3685"/>
            <w:shd w:fill="F7F7F7"/>
          </w:tcPr>
          <w:p>
            <w:r>
              <w:rPr>
                <w:rFonts w:ascii="Chivo" w:hAnsi="Chivo"/>
                <w:b w:val="0"/>
                <w:color w:val="1E155D"/>
                <w:sz w:val="18"/>
              </w:rPr>
              <w:t>Multiple verification methods available, including SMS via community modules.</w:t>
            </w:r>
          </w:p>
        </w:tc>
      </w:tr>
      <w:tr>
        <w:tc>
          <w:tcPr>
            <w:tcW w:type="dxa" w:w="2551"/>
            <w:shd w:fill="F0EEFA"/>
          </w:tcPr>
          <w:p>
            <w:r>
              <w:rPr>
                <w:rFonts w:ascii="Chivo" w:hAnsi="Chivo"/>
                <w:b/>
                <w:color w:val="1E155D"/>
                <w:sz w:val="18"/>
              </w:rPr>
              <w:t>Displaying entities as project owner</w:t>
            </w:r>
          </w:p>
        </w:tc>
        <w:tc>
          <w:tcPr>
            <w:tcW w:type="dxa" w:w="3685"/>
            <w:shd w:fill="FFFFFF"/>
          </w:tcPr>
          <w:p>
            <w:r>
              <w:rPr>
                <w:rFonts w:ascii="Chivo" w:hAnsi="Chivo"/>
                <w:b w:val="0"/>
                <w:color w:val="1E155D"/>
                <w:sz w:val="18"/>
              </w:rPr>
              <w:t>Possible via roles (entity users become project managers) and a logo on the project visual — not yet as built-in as Decidim's native 'participatory space owner' concept.</w:t>
            </w:r>
          </w:p>
        </w:tc>
        <w:tc>
          <w:tcPr>
            <w:tcW w:type="dxa" w:w="3685"/>
            <w:shd w:fill="F7F7F7"/>
          </w:tcPr>
          <w:p>
            <w:r>
              <w:rPr>
                <w:rFonts w:ascii="Chivo" w:hAnsi="Chivo"/>
                <w:b w:val="0"/>
                <w:color w:val="1E155D"/>
                <w:sz w:val="18"/>
              </w:rPr>
              <w:t>Native support for entities/organisations as project owners, including dedicated admin experiences.</w:t>
            </w:r>
          </w:p>
        </w:tc>
      </w:tr>
      <w:tr>
        <w:tc>
          <w:tcPr>
            <w:tcW w:type="dxa" w:w="2551"/>
            <w:shd w:fill="F0EEFA"/>
          </w:tcPr>
          <w:p>
            <w:r>
              <w:rPr>
                <w:rFonts w:ascii="Chivo" w:hAnsi="Chivo"/>
                <w:b/>
                <w:color w:val="1E155D"/>
                <w:sz w:val="18"/>
              </w:rPr>
              <w:t>Open source / open data</w:t>
            </w:r>
          </w:p>
        </w:tc>
        <w:tc>
          <w:tcPr>
            <w:tcW w:type="dxa" w:w="3685"/>
            <w:shd w:fill="FFFFFF"/>
          </w:tcPr>
          <w:p>
            <w:r>
              <w:rPr>
                <w:rFonts w:ascii="Chivo" w:hAnsi="Chivo"/>
                <w:b w:val="0"/>
                <w:color w:val="1E155D"/>
                <w:sz w:val="18"/>
              </w:rPr>
              <w:t>Open code: our source code is fully accessible to clients. Open data is supported — the platform operates under a commercial license.</w:t>
            </w:r>
          </w:p>
        </w:tc>
        <w:tc>
          <w:tcPr>
            <w:tcW w:type="dxa" w:w="3685"/>
            <w:shd w:fill="F7F7F7"/>
          </w:tcPr>
          <w:p>
            <w:r>
              <w:rPr>
                <w:rFonts w:ascii="Chivo" w:hAnsi="Chivo"/>
                <w:b w:val="0"/>
                <w:color w:val="1E155D"/>
                <w:sz w:val="18"/>
              </w:rPr>
              <w:t>Fully open-source under AGPL. Open-by-default is a core project value.</w:t>
            </w:r>
          </w:p>
        </w:tc>
      </w:tr>
      <w:tr>
        <w:tc>
          <w:tcPr>
            <w:tcW w:type="dxa" w:w="2551"/>
            <w:shd w:fill="F0EEFA"/>
          </w:tcPr>
          <w:p>
            <w:r>
              <w:rPr>
                <w:rFonts w:ascii="Chivo" w:hAnsi="Chivo"/>
                <w:b/>
                <w:color w:val="1E155D"/>
                <w:sz w:val="18"/>
              </w:rPr>
              <w:t>Security &amp; compliance</w:t>
            </w:r>
          </w:p>
        </w:tc>
        <w:tc>
          <w:tcPr>
            <w:tcW w:type="dxa" w:w="3685"/>
            <w:shd w:fill="FFFFFF"/>
          </w:tcPr>
          <w:p>
            <w:r>
              <w:rPr>
                <w:rFonts w:ascii="Chivo" w:hAnsi="Chivo"/>
                <w:b w:val="0"/>
                <w:color w:val="1E155D"/>
                <w:sz w:val="18"/>
              </w:rPr>
              <w:t>ISO 27001, GDPR by design, SSO (SAML, FranceConnect, Azure AD), pen-tested, EU hosting.</w:t>
            </w:r>
          </w:p>
        </w:tc>
        <w:tc>
          <w:tcPr>
            <w:tcW w:type="dxa" w:w="3685"/>
            <w:shd w:fill="F7F7F7"/>
          </w:tcPr>
          <w:p>
            <w:r>
              <w:rPr>
                <w:rFonts w:ascii="Chivo" w:hAnsi="Chivo"/>
                <w:b w:val="0"/>
                <w:color w:val="1E155D"/>
                <w:sz w:val="18"/>
              </w:rPr>
              <w:t>Security and compliance depend on hosting choices and configuration. GDPR responsibility sits with the deploying entity.</w:t>
            </w:r>
          </w:p>
        </w:tc>
      </w:tr>
      <w:tr>
        <w:tc>
          <w:tcPr>
            <w:tcW w:type="dxa" w:w="2551"/>
            <w:shd w:fill="F0EEFA"/>
          </w:tcPr>
          <w:p>
            <w:r>
              <w:rPr>
                <w:rFonts w:ascii="Chivo" w:hAnsi="Chivo"/>
                <w:b/>
                <w:color w:val="1E155D"/>
                <w:sz w:val="18"/>
              </w:rPr>
              <w:t>Support &amp; success</w:t>
            </w:r>
          </w:p>
        </w:tc>
        <w:tc>
          <w:tcPr>
            <w:tcW w:type="dxa" w:w="3685"/>
            <w:shd w:fill="FFFFFF"/>
          </w:tcPr>
          <w:p>
            <w:r>
              <w:rPr>
                <w:rFonts w:ascii="Chivo" w:hAnsi="Chivo"/>
                <w:b w:val="0"/>
                <w:color w:val="1E155D"/>
                <w:sz w:val="18"/>
              </w:rPr>
              <w:t>Dedicated Success Manager, onboarding, training, 640+ government community, 4.7/5 satisfaction.</w:t>
            </w:r>
          </w:p>
        </w:tc>
        <w:tc>
          <w:tcPr>
            <w:tcW w:type="dxa" w:w="3685"/>
            <w:shd w:fill="F7F7F7"/>
          </w:tcPr>
          <w:p>
            <w:r>
              <w:rPr>
                <w:rFonts w:ascii="Chivo" w:hAnsi="Chivo"/>
                <w:b w:val="0"/>
                <w:color w:val="1E155D"/>
                <w:sz w:val="18"/>
              </w:rPr>
              <w:t>Community forums + paid support via consultancies (OSP). No default SLA unless separately contracted.</w:t>
            </w:r>
          </w:p>
        </w:tc>
      </w:tr>
      <w:tr>
        <w:tc>
          <w:tcPr>
            <w:tcW w:type="dxa" w:w="2551"/>
            <w:shd w:fill="F0EEFA"/>
          </w:tcPr>
          <w:p>
            <w:r>
              <w:rPr>
                <w:rFonts w:ascii="Chivo" w:hAnsi="Chivo"/>
                <w:b/>
                <w:color w:val="1E155D"/>
                <w:sz w:val="18"/>
              </w:rPr>
              <w:t>Total cost of ownership</w:t>
            </w:r>
          </w:p>
        </w:tc>
        <w:tc>
          <w:tcPr>
            <w:tcW w:type="dxa" w:w="3685"/>
            <w:shd w:fill="FFFFFF"/>
          </w:tcPr>
          <w:p>
            <w:r>
              <w:rPr>
                <w:rFonts w:ascii="Chivo" w:hAnsi="Chivo"/>
                <w:b w:val="0"/>
                <w:color w:val="1E155D"/>
                <w:sz w:val="18"/>
              </w:rPr>
              <w:t>Predictable subscription covering hosting, updates, support, security and new features.</w:t>
            </w:r>
          </w:p>
        </w:tc>
        <w:tc>
          <w:tcPr>
            <w:tcW w:type="dxa" w:w="3685"/>
            <w:shd w:fill="F7F7F7"/>
          </w:tcPr>
          <w:p>
            <w:r>
              <w:rPr>
                <w:rFonts w:ascii="Chivo" w:hAnsi="Chivo"/>
                <w:b w:val="0"/>
                <w:color w:val="1E155D"/>
                <w:sz w:val="18"/>
              </w:rPr>
              <w:t>No license fee, but TCO includes hosting, dev time, maintenance, audits, plugins, and support contracts.</w:t>
            </w:r>
          </w:p>
        </w:tc>
      </w:tr>
    </w:tbl>
    <w:p/>
    <w:p>
      <w:pPr>
        <w:spacing w:before="240" w:after="120"/>
      </w:pPr>
      <w:r>
        <w:rPr>
          <w:rFonts w:ascii="Chivo" w:hAnsi="Chivo"/>
          <w:b/>
          <w:color w:val="1E155D"/>
          <w:sz w:val="32"/>
        </w:rPr>
        <w:t>In summary</w:t>
      </w:r>
    </w:p>
    <w:p>
      <w:pPr>
        <w:spacing w:after="120"/>
      </w:pPr>
      <w:r>
        <w:rPr>
          <w:rFonts w:ascii="Chivo" w:hAnsi="Chivo"/>
          <w:b w:val="0"/>
          <w:i w:val="0"/>
          <w:color w:val="1E155D"/>
          <w:sz w:val="22"/>
        </w:rPr>
        <w:t>Decidim is a serious open-source project and a legitimate foundation for a participation programme. Go Vocal builds on the same mission and offers a more complete, ready-to-use toolbox: richer engagement methods, in-product analysis and reporting, a modern resident experience, and enterprise-grade security — delivered by a team that now includes the OSP colleagues you already work with.</w:t>
      </w:r>
    </w:p>
    <w:p>
      <w:pPr>
        <w:spacing w:after="120"/>
      </w:pPr>
      <w:r>
        <w:rPr>
          <w:rFonts w:ascii="Chivo" w:hAnsi="Chivo"/>
          <w:b w:val="0"/>
          <w:i/>
          <w:color w:val="43369B"/>
          <w:sz w:val="22"/>
        </w:rPr>
        <w:t>For OSP-hosted Decidim clients, migration is an opportunity to spend less time on infrastructure and more on outcomes — and we'd approach it as a shared project, with you, not done to you.</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hivo" w:hAnsi="Chivo"/>
      <w:color w:val="1E155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