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hivo" w:hAnsi="Chivo"/>
          <w:b/>
          <w:color w:val="1E155D"/>
          <w:sz w:val="26"/>
        </w:rPr>
        <w:t>GO VOCAL</w:t>
      </w:r>
      <w:r>
        <w:rPr>
          <w:rFonts w:ascii="Chivo" w:hAnsi="Chivo"/>
          <w:b/>
          <w:color w:val="FF3E52"/>
          <w:sz w:val="26"/>
        </w:rPr>
        <w:t xml:space="preserve">   ×   </w:t>
      </w:r>
      <w:r>
        <w:rPr>
          <w:rFonts w:ascii="Chivo" w:hAnsi="Chivo"/>
          <w:b/>
          <w:color w:val="1E155D"/>
          <w:sz w:val="26"/>
        </w:rPr>
        <w:t>OSP</w:t>
      </w:r>
    </w:p>
    <w:p/>
    <w:p/>
    <w:p/>
    <w:p>
      <w:pPr>
        <w:spacing w:line="252" w:lineRule="auto" w:after="560"/>
        <w:jc w:val="left"/>
      </w:pPr>
      <w:r>
        <w:rPr>
          <w:rFonts w:ascii="Chivo" w:hAnsi="Chivo"/>
          <w:color w:val="1E155D"/>
          <w:sz w:val="92"/>
        </w:rPr>
        <w:t>Faisons évoluer</w:t>
        <w:br/>
        <w:t>votre participation</w:t>
        <w:br/>
        <w:t>ensemble.</w:t>
      </w:r>
    </w:p>
    <w:p>
      <w:pPr>
        <w:spacing w:line="336" w:lineRule="auto"/>
        <w:jc w:val="left"/>
      </w:pPr>
      <w:r>
        <w:rPr>
          <w:rFonts w:ascii="Chivo" w:hAnsi="Chivo"/>
          <w:i/>
          <w:color w:val="43369B"/>
          <w:sz w:val="26"/>
        </w:rPr>
        <w:t>Note conceptuelle à l'attention des clients Decidim d'Open Source Politics. Pourquoi Go Vocal est la suite naturelle pour un dialogue plus inclusif, interactif et réactif avec votre communauté — et ce qui change sous le capot.</w:t>
      </w:r>
    </w:p>
    <w:p>
      <w:r>
        <w:br w:type="page"/>
      </w:r>
    </w:p>
    <w:p>
      <w:pPr>
        <w:spacing w:before="320" w:after="160"/>
      </w:pPr>
      <w:r>
        <w:rPr>
          <w:rFonts w:ascii="Chivo" w:hAnsi="Chivo"/>
          <w:color w:val="1E155D"/>
          <w:sz w:val="44"/>
        </w:rPr>
        <w:t>Pourquoi cette note</w:t>
      </w:r>
    </w:p>
    <w:p>
      <w:pPr>
        <w:spacing w:after="120"/>
      </w:pPr>
      <w:r>
        <w:rPr>
          <w:rFonts w:ascii="Chivo" w:hAnsi="Chivo"/>
          <w:b w:val="0"/>
          <w:i w:val="0"/>
          <w:color w:val="1E155D"/>
          <w:sz w:val="22"/>
        </w:rPr>
        <w:t>Vous pilotez déjà une pratique de participation solide avec Decidim, accompagnée par OSP. L'objet de cette note est de montrer comment cette pratique peut franchir un cap — avec des outils plus riches, moins de charge opérationnelle, et les mêmes personnes à vos côtés.</w:t>
      </w:r>
    </w:p>
    <w:p>
      <w:pPr>
        <w:spacing w:after="120"/>
      </w:pPr>
      <w:r>
        <w:rPr>
          <w:rFonts w:ascii="Chivo" w:hAnsi="Chivo"/>
          <w:b w:val="0"/>
          <w:i w:val="0"/>
          <w:color w:val="1E155D"/>
          <w:sz w:val="22"/>
        </w:rPr>
        <w:t>Comme vous le savez, OSP a récemment rejoint Go Vocal. La raison est simple : la plateforme Go Vocal est le produit d'engagement le plus complet et le plus moderne du marché, et elle rend le travail d'OSP avec vous significativement plus puissant. En 2025, Go Vocal a été classée n°1 mondiale par People Powered, avec un score parfait de 100/100 sur les fonctionnalités — la plateforme la mieux notée parmi 30 outils internationaux de participation numérique.</w:t>
      </w:r>
    </w:p>
    <w:p>
      <w:pPr>
        <w:spacing w:after="120"/>
      </w:pPr>
      <w:r>
        <w:rPr>
          <w:rFonts w:ascii="Chivo" w:hAnsi="Chivo"/>
          <w:b w:val="0"/>
          <w:i w:val="0"/>
          <w:color w:val="1E155D"/>
          <w:sz w:val="22"/>
        </w:rPr>
        <w:t>Cette note vous est destinée. Elle expose, concrètement, pourquoi migrer vers Go Vocal est la suite naturelle pour un client Decidim accompagné par OSP, là où nous nous distinguons clairement, et là où Decidim fait encore les choses différemment. Elle est pensée pour être lue d'une traite et rouverte au moment de comparer les options en interne.</w:t>
      </w:r>
    </w:p>
    <w:p>
      <w:pPr>
        <w:spacing w:before="240" w:after="120"/>
      </w:pPr>
      <w:r>
        <w:rPr>
          <w:rFonts w:ascii="Chivo" w:hAnsi="Chivo"/>
          <w:b/>
          <w:color w:val="1E155D"/>
          <w:sz w:val="32"/>
        </w:rPr>
        <w:t>Go Vocal en chiffres</w:t>
      </w:r>
    </w:p>
    <w:tbl>
      <w:tblPr>
        <w:tblW w:type="auto" w:w="0"/>
        <w:jc w:val="center"/>
        <w:tblLayout w:type="autofit"/>
        <w:tblLook w:firstColumn="1" w:firstRow="1" w:lastColumn="0" w:lastRow="0" w:noHBand="0" w:noVBand="1" w:val="04A0"/>
      </w:tblPr>
      <w:tblGrid>
        <w:gridCol w:w="1569"/>
        <w:gridCol w:w="1569"/>
        <w:gridCol w:w="1569"/>
        <w:gridCol w:w="1569"/>
        <w:gridCol w:w="1569"/>
        <w:gridCol w:w="1569"/>
      </w:tblGrid>
      <w:tr>
        <w:tc>
          <w:tcPr>
            <w:tcW w:type="dxa" w:w="1569"/>
            <w:shd w:fill="1E155D"/>
            <w:vAlign w:val="center"/>
          </w:tcPr>
          <w:p>
            <w:pPr>
              <w:jc w:val="center"/>
            </w:pPr>
            <w:r/>
            <w:r>
              <w:rPr>
                <w:rFonts w:ascii="Chivo" w:hAnsi="Chivo"/>
                <w:b/>
                <w:color w:val="FFFFFF"/>
                <w:sz w:val="40"/>
              </w:rPr>
              <w:t>4,7/5</w:t>
            </w:r>
          </w:p>
        </w:tc>
        <w:tc>
          <w:tcPr>
            <w:tcW w:type="dxa" w:w="1569"/>
            <w:shd w:fill="1E155D"/>
            <w:vAlign w:val="center"/>
          </w:tcPr>
          <w:p>
            <w:pPr>
              <w:jc w:val="center"/>
            </w:pPr>
            <w:r/>
            <w:r>
              <w:rPr>
                <w:rFonts w:ascii="Chivo" w:hAnsi="Chivo"/>
                <w:b/>
                <w:color w:val="FFFFFF"/>
                <w:sz w:val="40"/>
              </w:rPr>
              <w:t>40</w:t>
            </w:r>
          </w:p>
        </w:tc>
        <w:tc>
          <w:tcPr>
            <w:tcW w:type="dxa" w:w="1569"/>
            <w:shd w:fill="1E155D"/>
            <w:vAlign w:val="center"/>
          </w:tcPr>
          <w:p>
            <w:pPr>
              <w:jc w:val="center"/>
            </w:pPr>
            <w:r/>
            <w:r>
              <w:rPr>
                <w:rFonts w:ascii="Chivo" w:hAnsi="Chivo"/>
                <w:b/>
                <w:color w:val="FFFFFF"/>
                <w:sz w:val="40"/>
              </w:rPr>
              <w:t>640+</w:t>
            </w:r>
          </w:p>
        </w:tc>
        <w:tc>
          <w:tcPr>
            <w:tcW w:type="dxa" w:w="1569"/>
            <w:shd w:fill="1E155D"/>
            <w:vAlign w:val="center"/>
          </w:tcPr>
          <w:p>
            <w:pPr>
              <w:jc w:val="center"/>
            </w:pPr>
            <w:r/>
            <w:r>
              <w:rPr>
                <w:rFonts w:ascii="Chivo" w:hAnsi="Chivo"/>
                <w:b/>
                <w:color w:val="FFFFFF"/>
                <w:sz w:val="40"/>
              </w:rPr>
              <w:t>100/100</w:t>
            </w:r>
          </w:p>
        </w:tc>
        <w:tc>
          <w:tcPr>
            <w:tcW w:type="dxa" w:w="1569"/>
            <w:shd w:fill="1E155D"/>
            <w:vAlign w:val="center"/>
          </w:tcPr>
          <w:p>
            <w:pPr>
              <w:jc w:val="center"/>
            </w:pPr>
            <w:r/>
            <w:r>
              <w:rPr>
                <w:rFonts w:ascii="Chivo" w:hAnsi="Chivo"/>
                <w:b/>
                <w:color w:val="FFFFFF"/>
                <w:sz w:val="40"/>
              </w:rPr>
              <w:t>27 100</w:t>
            </w:r>
          </w:p>
        </w:tc>
        <w:tc>
          <w:tcPr>
            <w:tcW w:type="dxa" w:w="1569"/>
            <w:shd w:fill="1E155D"/>
            <w:vAlign w:val="center"/>
          </w:tcPr>
          <w:p>
            <w:pPr>
              <w:jc w:val="center"/>
            </w:pPr>
            <w:r/>
            <w:r>
              <w:rPr>
                <w:rFonts w:ascii="Chivo" w:hAnsi="Chivo"/>
                <w:b/>
                <w:color w:val="FFFFFF"/>
                <w:sz w:val="40"/>
              </w:rPr>
              <w:t>2 000</w:t>
            </w:r>
          </w:p>
        </w:tc>
      </w:tr>
      <w:tr>
        <w:tc>
          <w:tcPr>
            <w:tcW w:type="dxa" w:w="1569"/>
            <w:shd w:fill="F0EEFA"/>
            <w:vAlign w:val="center"/>
          </w:tcPr>
          <w:p>
            <w:pPr>
              <w:jc w:val="center"/>
            </w:pPr>
            <w:r/>
            <w:r>
              <w:rPr>
                <w:rFonts w:ascii="Chivo" w:hAnsi="Chivo"/>
                <w:color w:val="1E155D"/>
                <w:sz w:val="18"/>
              </w:rPr>
              <w:t>Score de satisfaction client</w:t>
            </w:r>
          </w:p>
        </w:tc>
        <w:tc>
          <w:tcPr>
            <w:tcW w:type="dxa" w:w="1569"/>
            <w:shd w:fill="F0EEFA"/>
            <w:vAlign w:val="center"/>
          </w:tcPr>
          <w:p>
            <w:pPr>
              <w:jc w:val="center"/>
            </w:pPr>
            <w:r/>
            <w:r>
              <w:rPr>
                <w:rFonts w:ascii="Chivo" w:hAnsi="Chivo"/>
                <w:color w:val="1E155D"/>
                <w:sz w:val="18"/>
              </w:rPr>
              <w:t>Pays où nous intervenons</w:t>
            </w:r>
          </w:p>
        </w:tc>
        <w:tc>
          <w:tcPr>
            <w:tcW w:type="dxa" w:w="1569"/>
            <w:shd w:fill="F0EEFA"/>
            <w:vAlign w:val="center"/>
          </w:tcPr>
          <w:p>
            <w:pPr>
              <w:jc w:val="center"/>
            </w:pPr>
            <w:r/>
            <w:r>
              <w:rPr>
                <w:rFonts w:ascii="Chivo" w:hAnsi="Chivo"/>
                <w:color w:val="1E155D"/>
                <w:sz w:val="18"/>
              </w:rPr>
              <w:t>Gouvernements accompagnés</w:t>
            </w:r>
          </w:p>
        </w:tc>
        <w:tc>
          <w:tcPr>
            <w:tcW w:type="dxa" w:w="1569"/>
            <w:shd w:fill="F0EEFA"/>
            <w:vAlign w:val="center"/>
          </w:tcPr>
          <w:p>
            <w:pPr>
              <w:jc w:val="center"/>
            </w:pPr>
            <w:r/>
            <w:r>
              <w:rPr>
                <w:rFonts w:ascii="Chivo" w:hAnsi="Chivo"/>
                <w:color w:val="1E155D"/>
                <w:sz w:val="18"/>
              </w:rPr>
              <w:t>Score People Powered</w:t>
            </w:r>
          </w:p>
        </w:tc>
        <w:tc>
          <w:tcPr>
            <w:tcW w:type="dxa" w:w="1569"/>
            <w:shd w:fill="F0EEFA"/>
            <w:vAlign w:val="center"/>
          </w:tcPr>
          <w:p>
            <w:pPr>
              <w:jc w:val="center"/>
            </w:pPr>
            <w:r/>
            <w:r>
              <w:rPr>
                <w:rFonts w:ascii="Chivo" w:hAnsi="Chivo"/>
                <w:color w:val="1E155D"/>
                <w:sz w:val="18"/>
              </w:rPr>
              <w:t>Projets lancés</w:t>
            </w:r>
          </w:p>
        </w:tc>
        <w:tc>
          <w:tcPr>
            <w:tcW w:type="dxa" w:w="1569"/>
            <w:shd w:fill="F0EEFA"/>
            <w:vAlign w:val="center"/>
          </w:tcPr>
          <w:p>
            <w:pPr>
              <w:jc w:val="center"/>
            </w:pPr>
            <w:r/>
            <w:r>
              <w:rPr>
                <w:rFonts w:ascii="Chivo" w:hAnsi="Chivo"/>
                <w:color w:val="1E155D"/>
                <w:sz w:val="18"/>
              </w:rPr>
              <w:t>Admins actifs par mois</w:t>
            </w:r>
          </w:p>
        </w:tc>
      </w:tr>
    </w:tbl>
    <w:p>
      <w:r>
        <w:br w:type="page"/>
      </w:r>
    </w:p>
    <w:p>
      <w:pPr>
        <w:spacing w:before="320" w:after="160"/>
      </w:pPr>
      <w:r>
        <w:rPr>
          <w:rFonts w:ascii="Chivo" w:hAnsi="Chivo"/>
          <w:color w:val="1E155D"/>
          <w:sz w:val="44"/>
        </w:rPr>
        <w:t>Là où Go Vocal fait la différence</w:t>
      </w:r>
    </w:p>
    <w:p>
      <w:pPr>
        <w:spacing w:after="120"/>
      </w:pPr>
      <w:r>
        <w:rPr>
          <w:rFonts w:ascii="Chivo" w:hAnsi="Chivo"/>
          <w:b w:val="0"/>
          <w:i w:val="0"/>
          <w:color w:val="1E155D"/>
          <w:sz w:val="22"/>
        </w:rPr>
        <w:t>Dans les échanges de migration que nous avons eus avec des clients OSP, cinq domaines reviennent systématiquement comme ceux où les équipes ressentent une réelle amélioration — quatre territoires produit, et un cinquième qui tient à la façon dont la plateforme évolue et à la manière dont nous travaillons avec vous autour. Pour chacun, nous avons formulé l'enjeu tel que nous l'entendons chez les praticiens, puis décrit les fonctionnalités (ou services) qui y répondent le plus concrètement.</w:t>
      </w:r>
    </w:p>
    <w:tbl>
      <w:tblPr>
        <w:tblW w:type="auto" w:w="0"/>
        <w:jc w:val="left"/>
        <w:tblLayout w:type="fixed"/>
        <w:tblLook w:firstColumn="1" w:firstRow="1" w:lastColumn="0" w:lastRow="0" w:noHBand="0" w:noVBand="1" w:val="04A0"/>
      </w:tblPr>
      <w:tblGrid>
        <w:gridCol w:w="4706"/>
        <w:gridCol w:w="4706"/>
      </w:tblGrid>
      <w:tr>
        <w:tc>
          <w:tcPr>
            <w:tcW w:type="dxa" w:w="907"/>
            <w:shd w:fill="1E155D"/>
            <w:vAlign w:val="center"/>
          </w:tcPr>
          <w:p>
            <w:pPr>
              <w:jc w:val="center"/>
            </w:pPr>
            <w:r/>
            <w:r>
              <w:rPr>
                <w:rFonts w:ascii="Chivo" w:hAnsi="Chivo"/>
                <w:b/>
                <w:color w:val="FFFFFF"/>
                <w:sz w:val="64"/>
              </w:rPr>
              <w:t>1</w:t>
            </w:r>
          </w:p>
        </w:tc>
        <w:tc>
          <w:tcPr>
            <w:tcW w:type="dxa" w:w="8731"/>
            <w:shd w:fill="F0EEFA"/>
            <w:vAlign w:val="center"/>
          </w:tcPr>
          <w:p>
            <w:pPr>
              <w:ind w:left="170"/>
            </w:pPr>
            <w:r/>
            <w:r>
              <w:rPr>
                <w:rFonts w:ascii="Chivo" w:hAnsi="Chivo"/>
                <w:color w:val="1E155D"/>
                <w:sz w:val="40"/>
              </w:rPr>
              <w:t xml:space="preserve">  Contributions hybrides &amp; représentativité</w:t>
            </w:r>
          </w:p>
        </w:tc>
      </w:tr>
    </w:tbl>
    <w:p>
      <w:pPr>
        <w:spacing w:before="200"/>
      </w:pPr>
      <w:r>
        <w:rPr>
          <w:rFonts w:ascii="Chivo" w:hAnsi="Chivo"/>
          <w:b/>
          <w:color w:val="FF3E52"/>
          <w:sz w:val="24"/>
        </w:rPr>
        <w:t>L'enjeu</w:t>
      </w:r>
    </w:p>
    <w:p>
      <w:pPr>
        <w:spacing w:after="120"/>
      </w:pPr>
      <w:r>
        <w:rPr>
          <w:rFonts w:ascii="Chivo" w:hAnsi="Chivo"/>
          <w:b w:val="0"/>
          <w:i w:val="0"/>
          <w:color w:val="1E155D"/>
          <w:sz w:val="22"/>
        </w:rPr>
        <w:t>Les consultations exclusivement numériques sur-représentent systématiquement les publics à l'aise avec le digital — et sous-représentent les habitants que vous souhaitez le plus entendre. Sur Decidim, les contributions hors-ligne impliquent généralement des agents qui ressaisissent à la main les formulaires papier ou les comptes rendus de réunion, et la représentativité est suivie (quand elle l'est) en dehors de la plateforme. Go Vocal ferme la boucle : un seul environnement où les contributions en ligne et hors-ligne nourrissent la même base de données, et où vous voyez, en temps réel, qui vous touchez et qui vous manquez. Le gain : des consultations à la fois plus inclusives et plus défendables au moment de publier les résultats.</w:t>
      </w:r>
    </w:p>
    <w:p>
      <w:pPr>
        <w:spacing w:before="120"/>
      </w:pPr>
      <w:r>
        <w:rPr>
          <w:rFonts w:ascii="Chivo" w:hAnsi="Chivo"/>
          <w:b/>
          <w:color w:val="FF3E52"/>
          <w:sz w:val="24"/>
        </w:rPr>
        <w:t>Ce que nous proposons</w:t>
      </w:r>
    </w:p>
    <w:p>
      <w:pPr>
        <w:spacing w:after="120"/>
      </w:pPr>
      <w:r>
        <w:rPr>
          <w:rFonts w:ascii="Chivo" w:hAnsi="Chivo"/>
          <w:b w:val="0"/>
          <w:i w:val="0"/>
          <w:color w:val="1E155D"/>
          <w:sz w:val="22"/>
        </w:rPr>
        <w:t>Une architecture 360° qui traite tous les canaux — numérique, papier, en présentiel — au même niveau.</w:t>
      </w:r>
    </w:p>
    <w:p>
      <w:pPr>
        <w:pStyle w:val="ListBullet"/>
        <w:spacing w:after="80"/>
      </w:pPr>
      <w:r>
        <w:rPr>
          <w:rFonts w:ascii="Chivo" w:hAnsi="Chivo"/>
          <w:b/>
          <w:color w:val="1E155D"/>
          <w:sz w:val="22"/>
        </w:rPr>
        <w:t>360° Input Manager.</w:t>
      </w:r>
      <w:r>
        <w:rPr>
          <w:rFonts w:ascii="Chivo" w:hAnsi="Chivo"/>
          <w:color w:val="1E155D"/>
          <w:sz w:val="22"/>
        </w:rPr>
        <w:t xml:space="preserve"> Un espace unique où chaque contribution — soumission en ligne, formulaire papier, contribution en réunion — est ingérée, taguée et analysée ensemble.</w:t>
      </w:r>
    </w:p>
    <w:p>
      <w:pPr>
        <w:pStyle w:val="ListBullet"/>
        <w:spacing w:after="80"/>
      </w:pPr>
      <w:r>
        <w:rPr>
          <w:rFonts w:ascii="Chivo" w:hAnsi="Chivo"/>
          <w:b/>
          <w:color w:val="1E155D"/>
          <w:sz w:val="22"/>
        </w:rPr>
        <w:t>FormSync 2.0.</w:t>
      </w:r>
      <w:r>
        <w:rPr>
          <w:rFonts w:ascii="Chivo" w:hAnsi="Chivo"/>
          <w:color w:val="1E155D"/>
          <w:sz w:val="22"/>
        </w:rPr>
        <w:t xml:space="preserve"> Les enquêtes papier sont scannées et traitées par OCR, puis fusionnées automatiquement avec leurs équivalents numériques. Pas de double saisie, pas de tableur parallèle.</w:t>
      </w:r>
    </w:p>
    <w:p>
      <w:pPr>
        <w:pStyle w:val="ListBullet"/>
        <w:spacing w:after="80"/>
      </w:pPr>
      <w:r>
        <w:rPr>
          <w:rFonts w:ascii="Chivo" w:hAnsi="Chivo"/>
          <w:b/>
          <w:color w:val="1E155D"/>
          <w:sz w:val="22"/>
        </w:rPr>
        <w:t>Dashboard de représentativité.</w:t>
      </w:r>
      <w:r>
        <w:rPr>
          <w:rFonts w:ascii="Chivo" w:hAnsi="Chivo"/>
          <w:color w:val="1E155D"/>
          <w:sz w:val="22"/>
        </w:rPr>
        <w:t xml:space="preserve"> Comparez en temps réel la démographie réelle des participants au profil de votre population, pour repérer tôt qui manque à l'appel et corriger le tir.</w:t>
      </w:r>
    </w:p>
    <w:p/>
    <w:tbl>
      <w:tblPr>
        <w:tblW w:type="auto" w:w="0"/>
        <w:jc w:val="left"/>
        <w:tblLayout w:type="fixed"/>
        <w:tblLook w:firstColumn="1" w:firstRow="1" w:lastColumn="0" w:lastRow="0" w:noHBand="0" w:noVBand="1" w:val="04A0"/>
      </w:tblPr>
      <w:tblGrid>
        <w:gridCol w:w="4706"/>
        <w:gridCol w:w="4706"/>
      </w:tblGrid>
      <w:tr>
        <w:tc>
          <w:tcPr>
            <w:tcW w:type="dxa" w:w="907"/>
            <w:shd w:fill="1E155D"/>
            <w:vAlign w:val="center"/>
          </w:tcPr>
          <w:p>
            <w:pPr>
              <w:jc w:val="center"/>
            </w:pPr>
            <w:r/>
            <w:r>
              <w:rPr>
                <w:rFonts w:ascii="Chivo" w:hAnsi="Chivo"/>
                <w:b/>
                <w:color w:val="FFFFFF"/>
                <w:sz w:val="64"/>
              </w:rPr>
              <w:t>2</w:t>
            </w:r>
          </w:p>
        </w:tc>
        <w:tc>
          <w:tcPr>
            <w:tcW w:type="dxa" w:w="8731"/>
            <w:shd w:fill="F0EEFA"/>
            <w:vAlign w:val="center"/>
          </w:tcPr>
          <w:p>
            <w:pPr>
              <w:ind w:left="170"/>
            </w:pPr>
            <w:r/>
            <w:r>
              <w:rPr>
                <w:rFonts w:ascii="Chivo" w:hAnsi="Chivo"/>
                <w:color w:val="1E155D"/>
                <w:sz w:val="40"/>
              </w:rPr>
              <w:t xml:space="preserve">  Analyse &amp; reporting</w:t>
            </w:r>
          </w:p>
        </w:tc>
      </w:tr>
    </w:tbl>
    <w:p>
      <w:pPr>
        <w:spacing w:before="200"/>
      </w:pPr>
      <w:r>
        <w:rPr>
          <w:rFonts w:ascii="Chivo" w:hAnsi="Chivo"/>
          <w:b/>
          <w:color w:val="FF3E52"/>
          <w:sz w:val="24"/>
        </w:rPr>
        <w:t>L'enjeu</w:t>
      </w:r>
    </w:p>
    <w:p>
      <w:pPr>
        <w:spacing w:after="120"/>
      </w:pPr>
      <w:r>
        <w:rPr>
          <w:rFonts w:ascii="Chivo" w:hAnsi="Chivo"/>
          <w:b w:val="0"/>
          <w:i w:val="0"/>
          <w:color w:val="1E155D"/>
          <w:sz w:val="22"/>
        </w:rPr>
        <w:t>Sur Decidim, lancer une consultation est assez simple. Le plus dur, c'est le lendemain : des milliers de contributions, des réponses libres, des comptes rendus de réunion qui atterrissent sur une petite équipe qui part ensuite sous Excel et disparaît pour plusieurs semaines. Les rapports sont inconsistants, tardifs, difficiles à comparer d'un projet à l'autre. Le Sensemaking IA de Go Vocal fait le gros du travail directement dans la plateforme, et le Report Builder transforme la sortie en livrables attendus par vos parties prenantes. Le gain : une analyse plus rapide, plus rigoureuse et reproductible. De fait, les clients Go Vocal rapportent une réduction d'environ 55 % du temps de cycle de reporting par rapport aux workflows manuels ou à base d'outils externes.</w:t>
      </w:r>
    </w:p>
    <w:p>
      <w:pPr>
        <w:spacing w:before="120"/>
      </w:pPr>
      <w:r>
        <w:rPr>
          <w:rFonts w:ascii="Chivo" w:hAnsi="Chivo"/>
          <w:b/>
          <w:color w:val="FF3E52"/>
          <w:sz w:val="24"/>
        </w:rPr>
        <w:t>Ce que nous proposons</w:t>
      </w:r>
    </w:p>
    <w:p>
      <w:pPr>
        <w:spacing w:after="120"/>
      </w:pPr>
      <w:r>
        <w:rPr>
          <w:rFonts w:ascii="Chivo" w:hAnsi="Chivo"/>
          <w:b w:val="0"/>
          <w:i w:val="0"/>
          <w:color w:val="1E155D"/>
          <w:sz w:val="22"/>
        </w:rPr>
        <w:t>L'analyse et le reporting sont traités comme des surfaces produit à part entière, pas comme des add-ons.</w:t>
      </w:r>
    </w:p>
    <w:p>
      <w:pPr>
        <w:pStyle w:val="ListBullet"/>
        <w:spacing w:after="80"/>
      </w:pPr>
      <w:r>
        <w:rPr>
          <w:rFonts w:ascii="Chivo" w:hAnsi="Chivo"/>
          <w:b/>
          <w:color w:val="1E155D"/>
          <w:sz w:val="22"/>
        </w:rPr>
        <w:t>Sensemaking IA.</w:t>
      </w:r>
      <w:r>
        <w:rPr>
          <w:rFonts w:ascii="Chivo" w:hAnsi="Chivo"/>
          <w:color w:val="1E155D"/>
          <w:sz w:val="22"/>
        </w:rPr>
        <w:t xml:space="preserve"> Auto-tagging, clustering, synthèse et thèmes transverses sur des milliers de contributions libres — avec chaque output IA traçable jusqu'aux contributions d'origine.</w:t>
      </w:r>
    </w:p>
    <w:p>
      <w:pPr>
        <w:pStyle w:val="ListBullet"/>
        <w:spacing w:after="80"/>
      </w:pPr>
      <w:r>
        <w:rPr>
          <w:rFonts w:ascii="Chivo" w:hAnsi="Chivo"/>
          <w:b/>
          <w:color w:val="1E155D"/>
          <w:sz w:val="22"/>
        </w:rPr>
        <w:t>Rapports prêts à l'emploi.</w:t>
      </w:r>
      <w:r>
        <w:rPr>
          <w:rFonts w:ascii="Chivo" w:hAnsi="Chivo"/>
          <w:color w:val="1E155D"/>
          <w:sz w:val="22"/>
        </w:rPr>
        <w:t xml:space="preserve"> Modèles de rapports pré-construits par méthode d'engagement (enquête, idéation, budget, etc.), générés en un clic et synchronisés avec les données. Vous composez ensuite vos rapports sur-mesure directement dans la plateforme — sections, graphiques, verbatims en glisser-déposer — et exportez en Word pour finaliser.</w:t>
      </w:r>
    </w:p>
    <w:p>
      <w:pPr>
        <w:pStyle w:val="ListBullet"/>
        <w:spacing w:after="80"/>
      </w:pPr>
      <w:r>
        <w:rPr>
          <w:rFonts w:ascii="Chivo" w:hAnsi="Chivo"/>
          <w:b/>
          <w:color w:val="1E155D"/>
          <w:sz w:val="22"/>
        </w:rPr>
        <w:t>Détection de patterns démographiques.</w:t>
      </w:r>
      <w:r>
        <w:rPr>
          <w:rFonts w:ascii="Chivo" w:hAnsi="Chivo"/>
          <w:color w:val="1E155D"/>
          <w:sz w:val="22"/>
        </w:rPr>
        <w:t xml:space="preserve"> Mettre en évidence les écarts d'opinions et de priorités entre segments (âge, quartier, langue, etc.) sans quitter la plateforme. Le Q&amp;A en langage naturel permet aux non-analystes de poser des questions directement aux données.</w:t>
      </w:r>
    </w:p>
    <w:p/>
    <w:tbl>
      <w:tblPr>
        <w:tblW w:type="auto" w:w="0"/>
        <w:jc w:val="left"/>
        <w:tblLayout w:type="fixed"/>
        <w:tblLook w:firstColumn="1" w:firstRow="1" w:lastColumn="0" w:lastRow="0" w:noHBand="0" w:noVBand="1" w:val="04A0"/>
      </w:tblPr>
      <w:tblGrid>
        <w:gridCol w:w="4706"/>
        <w:gridCol w:w="4706"/>
      </w:tblGrid>
      <w:tr>
        <w:tc>
          <w:tcPr>
            <w:tcW w:type="dxa" w:w="907"/>
            <w:shd w:fill="1E155D"/>
            <w:vAlign w:val="center"/>
          </w:tcPr>
          <w:p>
            <w:pPr>
              <w:jc w:val="center"/>
            </w:pPr>
            <w:r/>
            <w:r>
              <w:rPr>
                <w:rFonts w:ascii="Chivo" w:hAnsi="Chivo"/>
                <w:b/>
                <w:color w:val="FFFFFF"/>
                <w:sz w:val="64"/>
              </w:rPr>
              <w:t>3</w:t>
            </w:r>
          </w:p>
        </w:tc>
        <w:tc>
          <w:tcPr>
            <w:tcW w:type="dxa" w:w="8731"/>
            <w:shd w:fill="F0EEFA"/>
            <w:vAlign w:val="center"/>
          </w:tcPr>
          <w:p>
            <w:pPr>
              <w:ind w:left="170"/>
            </w:pPr>
            <w:r/>
            <w:r>
              <w:rPr>
                <w:rFonts w:ascii="Chivo" w:hAnsi="Chivo"/>
                <w:color w:val="1E155D"/>
                <w:sz w:val="40"/>
              </w:rPr>
              <w:t xml:space="preserve">  Flux back-office fluidifiés</w:t>
            </w:r>
          </w:p>
        </w:tc>
      </w:tr>
    </w:tbl>
    <w:p>
      <w:pPr>
        <w:spacing w:before="200"/>
      </w:pPr>
      <w:r>
        <w:rPr>
          <w:rFonts w:ascii="Chivo" w:hAnsi="Chivo"/>
          <w:b/>
          <w:color w:val="FF3E52"/>
          <w:sz w:val="24"/>
        </w:rPr>
        <w:t>L'enjeu</w:t>
      </w:r>
    </w:p>
    <w:p>
      <w:pPr>
        <w:spacing w:after="120"/>
      </w:pPr>
      <w:r>
        <w:rPr>
          <w:rFonts w:ascii="Chivo" w:hAnsi="Chivo"/>
          <w:b w:val="0"/>
          <w:i w:val="0"/>
          <w:color w:val="1E155D"/>
          <w:sz w:val="22"/>
        </w:rPr>
        <w:t>Dans un déploiement Decidim typique, une part étonnante du travail réel se passe en dehors de la plateforme : bases Grist pour l'instruction, fils de mails pour les validations, tableurs partagés pour la planification de projet. Cela tient jusqu'à ce que l'équipe grandisse ou qu'un audit survienne. Go Vocal ramène les workflows — et pas seulement le contenu — à l'intérieur de la plateforme, pour qu'un·e Responsable de la participation puisse voir un portefeuille de projets, leur statut, et les décisions associées à chacun. Le gain : des cycles plus courts, des passages de relais plus propres entre services, et une piste d'audit déjà en place quand on en a besoin.</w:t>
      </w:r>
    </w:p>
    <w:p>
      <w:pPr>
        <w:spacing w:before="120"/>
      </w:pPr>
      <w:r>
        <w:rPr>
          <w:rFonts w:ascii="Chivo" w:hAnsi="Chivo"/>
          <w:b/>
          <w:color w:val="FF3E52"/>
          <w:sz w:val="24"/>
        </w:rPr>
        <w:t>Ce que nous proposons</w:t>
      </w:r>
    </w:p>
    <w:p>
      <w:pPr>
        <w:spacing w:after="120"/>
      </w:pPr>
      <w:r>
        <w:rPr>
          <w:rFonts w:ascii="Chivo" w:hAnsi="Chivo"/>
          <w:b w:val="0"/>
          <w:i w:val="0"/>
          <w:color w:val="1E155D"/>
          <w:sz w:val="22"/>
        </w:rPr>
        <w:t>Le back-office est pensé autour de la manière dont la participation se pilote réellement dans une collectivité.</w:t>
      </w:r>
    </w:p>
    <w:p>
      <w:pPr>
        <w:pStyle w:val="ListBullet"/>
        <w:spacing w:after="80"/>
      </w:pPr>
      <w:r>
        <w:rPr>
          <w:rFonts w:ascii="Chivo" w:hAnsi="Chivo"/>
          <w:b/>
          <w:color w:val="1E155D"/>
          <w:sz w:val="22"/>
        </w:rPr>
        <w:t>Workflows de publication &amp; validation.</w:t>
      </w:r>
      <w:r>
        <w:rPr>
          <w:rFonts w:ascii="Chivo" w:hAnsi="Chivo"/>
          <w:color w:val="1E155D"/>
          <w:sz w:val="22"/>
        </w:rPr>
        <w:t xml:space="preserve"> États configurables (brouillon → relecture → publication), avec des rôles calqués sur les services ; rien ne part en ligne sans les bonnes validations.</w:t>
      </w:r>
    </w:p>
    <w:p>
      <w:pPr>
        <w:pStyle w:val="ListBullet"/>
        <w:spacing w:after="80"/>
      </w:pPr>
      <w:r>
        <w:rPr>
          <w:rFonts w:ascii="Chivo" w:hAnsi="Chivo"/>
          <w:b/>
          <w:color w:val="1E155D"/>
          <w:sz w:val="22"/>
        </w:rPr>
        <w:t>Diagrammes de Gantt &amp; espace de travail par service.</w:t>
      </w:r>
      <w:r>
        <w:rPr>
          <w:rFonts w:ascii="Chivo" w:hAnsi="Chivo"/>
          <w:color w:val="1E155D"/>
          <w:sz w:val="22"/>
        </w:rPr>
        <w:t xml:space="preserve"> Visualisez vos projets et leurs jalons sur tout le portefeuille directement dans l'admin. Chaque service peut disposer de son propre espace de travail.</w:t>
      </w:r>
    </w:p>
    <w:p>
      <w:pPr>
        <w:pStyle w:val="ListBullet"/>
        <w:spacing w:after="80"/>
      </w:pPr>
      <w:r>
        <w:rPr>
          <w:rFonts w:ascii="Chivo" w:hAnsi="Chivo"/>
          <w:b/>
          <w:color w:val="1E155D"/>
          <w:sz w:val="22"/>
        </w:rPr>
        <w:t>Modèles de projet.</w:t>
      </w:r>
      <w:r>
        <w:rPr>
          <w:rFonts w:ascii="Chivo" w:hAnsi="Chivo"/>
          <w:color w:val="1E155D"/>
          <w:sz w:val="22"/>
        </w:rPr>
        <w:t xml:space="preserve"> Standardisez la façon dont un budget participatif, une consultation ou une pétition sont paramétrés, pour que chaque équipe démarre sur une base saine et connue.</w:t>
      </w:r>
    </w:p>
    <w:p>
      <w:pPr>
        <w:pStyle w:val="ListBullet"/>
        <w:spacing w:after="80"/>
      </w:pPr>
      <w:r>
        <w:rPr>
          <w:rFonts w:ascii="Chivo" w:hAnsi="Chivo"/>
          <w:b/>
          <w:color w:val="1E155D"/>
          <w:sz w:val="22"/>
        </w:rPr>
        <w:t>Accès par rôle &amp; groupes intelligents.</w:t>
      </w:r>
      <w:r>
        <w:rPr>
          <w:rFonts w:ascii="Chivo" w:hAnsi="Chivo"/>
          <w:color w:val="1E155D"/>
          <w:sz w:val="22"/>
        </w:rPr>
        <w:t xml:space="preserve"> Permissions fines par projet, par phase et par service — avec des journaux d'audit comme brique native de la plateforme.</w:t>
      </w:r>
    </w:p>
    <w:p>
      <w:pPr>
        <w:pStyle w:val="ListBullet"/>
        <w:spacing w:after="80"/>
      </w:pPr>
      <w:r>
        <w:rPr>
          <w:rFonts w:ascii="Chivo" w:hAnsi="Chivo"/>
          <w:b/>
          <w:color w:val="1E155D"/>
          <w:sz w:val="22"/>
        </w:rPr>
        <w:t>Campagnes emails &amp; automatisations.</w:t>
      </w:r>
      <w:r>
        <w:rPr>
          <w:rFonts w:ascii="Chivo" w:hAnsi="Chivo"/>
          <w:color w:val="1E155D"/>
          <w:sz w:val="22"/>
        </w:rPr>
        <w:t xml:space="preserve"> Invitations, relances et suivis segmentés depuis la plateforme ; plus d'outil d'emailing externe à raccorder.</w:t>
      </w:r>
    </w:p>
    <w:p/>
    <w:tbl>
      <w:tblPr>
        <w:tblW w:type="auto" w:w="0"/>
        <w:jc w:val="left"/>
        <w:tblLayout w:type="fixed"/>
        <w:tblLook w:firstColumn="1" w:firstRow="1" w:lastColumn="0" w:lastRow="0" w:noHBand="0" w:noVBand="1" w:val="04A0"/>
      </w:tblPr>
      <w:tblGrid>
        <w:gridCol w:w="4706"/>
        <w:gridCol w:w="4706"/>
      </w:tblGrid>
      <w:tr>
        <w:tc>
          <w:tcPr>
            <w:tcW w:type="dxa" w:w="907"/>
            <w:shd w:fill="1E155D"/>
            <w:vAlign w:val="center"/>
          </w:tcPr>
          <w:p>
            <w:pPr>
              <w:jc w:val="center"/>
            </w:pPr>
            <w:r/>
            <w:r>
              <w:rPr>
                <w:rFonts w:ascii="Chivo" w:hAnsi="Chivo"/>
                <w:b/>
                <w:color w:val="FFFFFF"/>
                <w:sz w:val="64"/>
              </w:rPr>
              <w:t>4</w:t>
            </w:r>
          </w:p>
        </w:tc>
        <w:tc>
          <w:tcPr>
            <w:tcW w:type="dxa" w:w="8731"/>
            <w:shd w:fill="F0EEFA"/>
            <w:vAlign w:val="center"/>
          </w:tcPr>
          <w:p>
            <w:pPr>
              <w:ind w:left="170"/>
            </w:pPr>
            <w:r/>
            <w:r>
              <w:rPr>
                <w:rFonts w:ascii="Chivo" w:hAnsi="Chivo"/>
                <w:color w:val="1E155D"/>
                <w:sz w:val="40"/>
              </w:rPr>
              <w:t xml:space="preserve">  Engagement interactif, UX &amp; CMS</w:t>
            </w:r>
          </w:p>
        </w:tc>
      </w:tr>
    </w:tbl>
    <w:p>
      <w:pPr>
        <w:spacing w:before="200"/>
      </w:pPr>
      <w:r>
        <w:rPr>
          <w:rFonts w:ascii="Chivo" w:hAnsi="Chivo"/>
          <w:b/>
          <w:color w:val="FF3E52"/>
          <w:sz w:val="24"/>
        </w:rPr>
        <w:t>L'enjeu</w:t>
      </w:r>
    </w:p>
    <w:p>
      <w:pPr>
        <w:spacing w:after="120"/>
      </w:pPr>
      <w:r>
        <w:rPr>
          <w:rFonts w:ascii="Chivo" w:hAnsi="Chivo"/>
          <w:b w:val="0"/>
          <w:i w:val="0"/>
          <w:color w:val="1E155D"/>
          <w:sz w:val="22"/>
        </w:rPr>
        <w:t>Deux habitants sur trois consultent aujourd'hui les plateformes de participation depuis un téléphone, ce qui fait de l'expérience elle-même une composante de la participation : il faut qu'elle soit agréable d'entrée, facile à parcourir, et qu'on ait envie d'aller au bout. Go Vocal est pensée autour de cette réalité — des carrousels horizontaux plutôt que des défilements verticaux interminables, de petites animations qui guident le regard, et une page d'accueil qui s'adapte aux intérêts et au quartier de chaque habitant pour faire remonter les projets les plus pertinents. Ce n'est pas un détail technique : une expérience utilisateur accessible et bien pensée augmente la conversion, la participation, et à la fin de la chaîne la confiance dans l'institution. Couplée à des CMS sans code, votre équipe peut façonner cette expérience sans passer par des développeurs.</w:t>
      </w:r>
    </w:p>
    <w:p>
      <w:pPr>
        <w:spacing w:before="120"/>
      </w:pPr>
      <w:r>
        <w:rPr>
          <w:rFonts w:ascii="Chivo" w:hAnsi="Chivo"/>
          <w:b/>
          <w:color w:val="FF3E52"/>
          <w:sz w:val="24"/>
        </w:rPr>
        <w:t>Ce que nous proposons</w:t>
      </w:r>
    </w:p>
    <w:p>
      <w:pPr>
        <w:spacing w:after="120"/>
      </w:pPr>
      <w:r>
        <w:rPr>
          <w:rFonts w:ascii="Chivo" w:hAnsi="Chivo"/>
          <w:b w:val="0"/>
          <w:i w:val="0"/>
          <w:color w:val="1E155D"/>
          <w:sz w:val="22"/>
        </w:rPr>
        <w:t>Une expérience habitant moderne, associée à trois builders no-code qui remettent contenus, formulaires et rapports entre les mains de l'équipe participation.</w:t>
      </w:r>
    </w:p>
    <w:p>
      <w:pPr>
        <w:pStyle w:val="ListBullet"/>
        <w:spacing w:after="80"/>
      </w:pPr>
      <w:r>
        <w:rPr>
          <w:rFonts w:ascii="Chivo" w:hAnsi="Chivo"/>
          <w:b/>
          <w:color w:val="1E155D"/>
          <w:sz w:val="22"/>
        </w:rPr>
        <w:t>Enquêtes cartographiques pour l'aménagement.</w:t>
      </w:r>
      <w:r>
        <w:rPr>
          <w:rFonts w:ascii="Chivo" w:hAnsi="Chivo"/>
          <w:color w:val="1E155D"/>
          <w:sz w:val="22"/>
        </w:rPr>
        <w:t xml:space="preserve"> Decidim n'offre pas d'outils pour les aménageurs. Avec les enquêtes cartographiques de Go Vocal, les habitants voient les plans de projet et dessinent directement dessus des lignes, des polygones et des points pour partager leur avis.</w:t>
      </w:r>
    </w:p>
    <w:p>
      <w:pPr>
        <w:pStyle w:val="ListBullet"/>
        <w:spacing w:after="80"/>
      </w:pPr>
      <w:r>
        <w:rPr>
          <w:rFonts w:ascii="Chivo" w:hAnsi="Chivo"/>
          <w:b/>
          <w:color w:val="1E155D"/>
          <w:sz w:val="22"/>
        </w:rPr>
        <w:t>UX habitant mobile-first et adaptative.</w:t>
      </w:r>
      <w:r>
        <w:rPr>
          <w:rFonts w:ascii="Chivo" w:hAnsi="Chivo"/>
          <w:color w:val="1E155D"/>
          <w:sz w:val="22"/>
        </w:rPr>
        <w:t xml:space="preserve"> Expérience intégralement white-label, conforme WCAG 2.2 AA, pensée pour des habitants non techniques — avec carrousels horizontaux, micro-animations et une page d'accueil personnalisée qui met en avant les projets selon les intérêts et le quartier de la personne.</w:t>
      </w:r>
    </w:p>
    <w:p>
      <w:pPr>
        <w:pStyle w:val="ListBullet"/>
        <w:spacing w:after="80"/>
      </w:pPr>
      <w:r>
        <w:rPr>
          <w:rFonts w:ascii="Chivo" w:hAnsi="Chivo"/>
          <w:b/>
          <w:color w:val="1E155D"/>
          <w:sz w:val="22"/>
        </w:rPr>
        <w:t>Trois builders no-code (CMS).</w:t>
      </w:r>
      <w:r>
        <w:rPr>
          <w:rFonts w:ascii="Chivo" w:hAnsi="Chivo"/>
          <w:color w:val="1E155D"/>
          <w:sz w:val="22"/>
        </w:rPr>
        <w:t xml:space="preserve"> Content Builder, Form / Survey Builder et Report Builder — des outils en glisser-déposer qui permettent à l'équipe participation de concevoir les pages projets, des enquêtes riches (avec logique conditionnelle et questions cartographiques) et des rapports vivants, sans support développeur.</w:t>
      </w:r>
    </w:p>
    <w:p/>
    <w:tbl>
      <w:tblPr>
        <w:tblW w:type="auto" w:w="0"/>
        <w:jc w:val="left"/>
        <w:tblLayout w:type="fixed"/>
        <w:tblLook w:firstColumn="1" w:firstRow="1" w:lastColumn="0" w:lastRow="0" w:noHBand="0" w:noVBand="1" w:val="04A0"/>
      </w:tblPr>
      <w:tblGrid>
        <w:gridCol w:w="4706"/>
        <w:gridCol w:w="4706"/>
      </w:tblGrid>
      <w:tr>
        <w:tc>
          <w:tcPr>
            <w:tcW w:type="dxa" w:w="907"/>
            <w:shd w:fill="1E155D"/>
            <w:vAlign w:val="center"/>
          </w:tcPr>
          <w:p>
            <w:pPr>
              <w:jc w:val="center"/>
            </w:pPr>
            <w:r/>
            <w:r>
              <w:rPr>
                <w:rFonts w:ascii="Chivo" w:hAnsi="Chivo"/>
                <w:b/>
                <w:color w:val="FFFFFF"/>
                <w:sz w:val="64"/>
              </w:rPr>
              <w:t>5</w:t>
            </w:r>
          </w:p>
        </w:tc>
        <w:tc>
          <w:tcPr>
            <w:tcW w:type="dxa" w:w="8731"/>
            <w:shd w:fill="F0EEFA"/>
            <w:vAlign w:val="center"/>
          </w:tcPr>
          <w:p>
            <w:pPr>
              <w:ind w:left="170"/>
            </w:pPr>
            <w:r/>
            <w:r>
              <w:rPr>
                <w:rFonts w:ascii="Chivo" w:hAnsi="Chivo"/>
                <w:color w:val="1E155D"/>
                <w:sz w:val="40"/>
              </w:rPr>
              <w:t xml:space="preserve">  Vitesse de roadmap &amp; communauté</w:t>
            </w:r>
          </w:p>
        </w:tc>
      </w:tr>
    </w:tbl>
    <w:p>
      <w:pPr>
        <w:spacing w:before="200"/>
      </w:pPr>
      <w:r>
        <w:rPr>
          <w:rFonts w:ascii="Chivo" w:hAnsi="Chivo"/>
          <w:b/>
          <w:color w:val="FF3E52"/>
          <w:sz w:val="24"/>
        </w:rPr>
        <w:t>L'enjeu</w:t>
      </w:r>
    </w:p>
    <w:p>
      <w:pPr>
        <w:spacing w:after="120"/>
      </w:pPr>
      <w:r>
        <w:rPr>
          <w:rFonts w:ascii="Chivo" w:hAnsi="Chivo"/>
          <w:b w:val="0"/>
          <w:i w:val="0"/>
          <w:color w:val="1E155D"/>
          <w:sz w:val="22"/>
        </w:rPr>
        <w:t>Un des changements les moins visibles quand on passe de Decidim à Go Vocal, c'est la manière dont le produit évolue et la manière dont vous êtes accompagnés autour. Chez Go Vocal, une équipe produit dédiée de 15 personnes construit à plein temps, en étroit partenariat avec les clients : les fonctionnalités sont co-conçues avec vous, livrées rapidement, et déployées à tous en même temps. Autour du produit, nous investissons délibérément dans une communauté de pratique et un service de réussite dédié — parce que l'outil seul ne produit pas d'impact ; ce sont les usages qu'en font nos clients, avec le bon accompagnement, qui le créent.</w:t>
      </w:r>
    </w:p>
    <w:p>
      <w:pPr>
        <w:spacing w:before="120"/>
      </w:pPr>
      <w:r>
        <w:rPr>
          <w:rFonts w:ascii="Chivo" w:hAnsi="Chivo"/>
          <w:b/>
          <w:color w:val="FF3E52"/>
          <w:sz w:val="24"/>
        </w:rPr>
        <w:t>Ce que nous proposons</w:t>
      </w:r>
    </w:p>
    <w:p>
      <w:pPr>
        <w:spacing w:after="120"/>
      </w:pPr>
      <w:r>
        <w:rPr>
          <w:rFonts w:ascii="Chivo" w:hAnsi="Chivo"/>
          <w:b w:val="0"/>
          <w:i w:val="0"/>
          <w:color w:val="1E155D"/>
          <w:sz w:val="22"/>
        </w:rPr>
        <w:t>Trois engagements qui rendent tangibles la vitesse d'amélioration et la profondeur de l'accompagnement.</w:t>
      </w:r>
    </w:p>
    <w:p>
      <w:pPr>
        <w:pStyle w:val="ListBullet"/>
        <w:spacing w:after="80"/>
      </w:pPr>
      <w:r>
        <w:rPr>
          <w:rFonts w:ascii="Chivo" w:hAnsi="Chivo"/>
          <w:b/>
          <w:color w:val="1E155D"/>
          <w:sz w:val="22"/>
        </w:rPr>
        <w:t>Roadmap pilotée par les clients, livrée vite.</w:t>
      </w:r>
      <w:r>
        <w:rPr>
          <w:rFonts w:ascii="Chivo" w:hAnsi="Chivo"/>
          <w:color w:val="1E155D"/>
          <w:sz w:val="22"/>
        </w:rPr>
        <w:t xml:space="preserve"> Une équipe produit dédiée de 15 personnes, avec une roadmap transparente influencée par un conseil client. Des sessions de co-conception avec des clients tout au long de l'année, et chaque nouvelle fonctionnalité atterrit sur la plateforme de tout le monde dès qu'elle est livrée.</w:t>
      </w:r>
    </w:p>
    <w:p>
      <w:pPr>
        <w:pStyle w:val="ListBullet"/>
        <w:spacing w:after="80"/>
      </w:pPr>
      <w:r>
        <w:rPr>
          <w:rFonts w:ascii="Chivo" w:hAnsi="Chivo"/>
          <w:b/>
          <w:color w:val="1E155D"/>
          <w:sz w:val="22"/>
        </w:rPr>
        <w:t>Communauté de pratique régionale.</w:t>
      </w:r>
      <w:r>
        <w:rPr>
          <w:rFonts w:ascii="Chivo" w:hAnsi="Chivo"/>
          <w:color w:val="1E155D"/>
          <w:sz w:val="22"/>
        </w:rPr>
        <w:t xml:space="preserve"> Des sessions mensuelles en ligne par région, centrées sur un thème précis (budget participatif, représentativité, IA dans la participation…) où les clients échangent sans filtre. Complétées par un Inspiration Hub intégré au produit, qui permet de voir comment d'autres collectivités de votre région ont mené un projet similaire — pour ne pas repartir de zéro.</w:t>
      </w:r>
    </w:p>
    <w:p>
      <w:pPr>
        <w:pStyle w:val="ListBullet"/>
        <w:spacing w:after="80"/>
      </w:pPr>
      <w:r>
        <w:rPr>
          <w:rFonts w:ascii="Chivo" w:hAnsi="Chivo"/>
          <w:b/>
          <w:color w:val="1E155D"/>
          <w:sz w:val="22"/>
        </w:rPr>
        <w:t>GovSuccess Manager dédié.</w:t>
      </w:r>
      <w:r>
        <w:rPr>
          <w:rFonts w:ascii="Chivo" w:hAnsi="Chivo"/>
          <w:color w:val="1E155D"/>
          <w:sz w:val="22"/>
        </w:rPr>
        <w:t xml:space="preserve"> Un·e GovSuccess Manager nommé·e marche aux côtés de votre équipe : rapports trimestriels de données et d'impact, appui au design de projet, revues stratégiques, et escalade vers l'équipe produit quand il le faut. Nous nous mesurons sur les résultats, pas sur la livraison de fonctionnalités.</w:t>
      </w:r>
    </w:p>
    <w:p/>
    <w:p>
      <w:r>
        <w:br w:type="page"/>
      </w:r>
    </w:p>
    <w:p>
      <w:pPr>
        <w:spacing w:before="320" w:after="160"/>
      </w:pPr>
      <w:r>
        <w:rPr>
          <w:rFonts w:ascii="Chivo" w:hAnsi="Chivo"/>
          <w:color w:val="1E155D"/>
          <w:sz w:val="44"/>
        </w:rPr>
        <w:t>En résumé</w:t>
      </w:r>
    </w:p>
    <w:p>
      <w:pPr>
        <w:spacing w:after="120"/>
      </w:pPr>
      <w:r>
        <w:rPr>
          <w:rFonts w:ascii="Chivo" w:hAnsi="Chivo"/>
          <w:b w:val="0"/>
          <w:i w:val="0"/>
          <w:color w:val="1E155D"/>
          <w:sz w:val="22"/>
        </w:rPr>
        <w:t>Decidim est un projet open source solide et une base légitime pour une stratégie de participation. Go Vocal s'inscrit dans la même mission et offre une boîte à outils plus complète, prête à l'emploi : des méthodes d'engagement plus riches, une analyse et un reporting intégrés au produit, une expérience habitant moderne, et une sécurité de niveau entreprise — le tout livré par une équipe qui inclut désormais les collègues d'OSP avec qui vous travaillez déjà.</w:t>
      </w:r>
    </w:p>
    <w:p>
      <w:pPr>
        <w:spacing w:after="120"/>
      </w:pPr>
      <w:r>
        <w:rPr>
          <w:rFonts w:ascii="Chivo" w:hAnsi="Chivo"/>
          <w:b w:val="0"/>
          <w:i/>
          <w:color w:val="43369B"/>
          <w:sz w:val="22"/>
        </w:rPr>
        <w:t>Pour les clients Decidim hébergés par OSP qui veulent se concentrer sur les résultats plutôt que sur l'infrastructure, la migration est la suite naturelle — et nous la ferons avec vous, pas à votre place.</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hivo" w:hAnsi="Chivo"/>
      <w:color w:val="1E155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