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start"/>
        <w:rPr/>
      </w:pPr>
      <w:r>
        <w:rPr/>
        <w:t>CITL Factbook + Transcribe + Translation</w:t>
      </w:r>
    </w:p>
    <w:p>
      <w:pPr>
        <w:pStyle w:val="BodyText"/>
        <w:bidi w:val="0"/>
        <w:spacing w:before="120" w:after="120"/>
        <w:ind w:start="120" w:end="120"/>
        <w:jc w:val="start"/>
        <w:rPr/>
      </w:pPr>
      <w:r>
        <w:rPr>
          <w:rStyle w:val="Strong"/>
        </w:rPr>
        <w:t>Engineering Technical Manual</w:t>
      </w:r>
      <w:r>
        <w:rPr/>
        <w:t xml:space="preserve"> | Build snapshot: </w:t>
      </w:r>
      <w:r>
        <w:rPr>
          <w:rStyle w:val="Strong"/>
        </w:rPr>
        <w:t>2026-03-11</w:t>
      </w:r>
      <w:r>
        <w:rPr/>
        <w:t xml:space="preserve"> | Audience: Engineering, IT Security, Academic Technology, Compliance Reviewers</w:t>
      </w:r>
    </w:p>
    <w:p>
      <w:pPr>
        <w:pStyle w:val="BodyText"/>
        <w:bidi w:val="0"/>
        <w:spacing w:before="210" w:after="120"/>
        <w:ind w:hanging="0" w:start="0" w:end="0"/>
        <w:jc w:val="start"/>
        <w:rPr/>
      </w:pPr>
      <w:r>
        <w:rPr/>
        <w:t>Manual Index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210" w:after="120"/>
        <w:ind w:hanging="283" w:start="829"/>
        <w:jc w:val="start"/>
        <w:rPr/>
      </w:pPr>
      <w:hyperlink w:anchor="scope">
        <w:r>
          <w:rPr>
            <w:rStyle w:val="Hyperlink"/>
          </w:rPr>
          <w:t>1. Scope and Operating Model</w:t>
        </w:r>
      </w:hyperlink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210" w:after="120"/>
        <w:ind w:hanging="283" w:start="829"/>
        <w:jc w:val="start"/>
        <w:rPr/>
      </w:pPr>
      <w:hyperlink w:anchor="architecture">
        <w:r>
          <w:rPr>
            <w:rStyle w:val="Hyperlink"/>
          </w:rPr>
          <w:t>2. Architecture and Data Flows</w:t>
        </w:r>
      </w:hyperlink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210" w:after="120"/>
        <w:ind w:hanging="283" w:start="829"/>
        <w:jc w:val="start"/>
        <w:rPr/>
      </w:pPr>
      <w:hyperlink w:anchor="files">
        <w:r>
          <w:rPr>
            <w:rStyle w:val="Hyperlink"/>
          </w:rPr>
          <w:t>3. Important Files and Responsibilities</w:t>
        </w:r>
      </w:hyperlink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210" w:after="120"/>
        <w:ind w:hanging="283" w:start="829"/>
        <w:jc w:val="start"/>
        <w:rPr/>
      </w:pPr>
      <w:hyperlink w:anchor="buttons">
        <w:r>
          <w:rPr>
            <w:rStyle w:val="Hyperlink"/>
          </w:rPr>
          <w:t>4. GUI Control and Button Reference</w:t>
        </w:r>
      </w:hyperlink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210" w:after="120"/>
        <w:ind w:hanging="283" w:start="829"/>
        <w:jc w:val="start"/>
        <w:rPr/>
      </w:pPr>
      <w:hyperlink w:anchor="provenance">
        <w:r>
          <w:rPr>
            <w:rStyle w:val="Hyperlink"/>
          </w:rPr>
          <w:t>5. LLM Provenance and Governance</w:t>
        </w:r>
      </w:hyperlink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210" w:after="120"/>
        <w:ind w:hanging="283" w:start="829"/>
        <w:jc w:val="start"/>
        <w:rPr/>
      </w:pPr>
      <w:hyperlink w:anchor="privacy">
        <w:r>
          <w:rPr>
            <w:rStyle w:val="Hyperlink"/>
          </w:rPr>
          <w:t>6. Privacy, SaaS Risk, and Institutional Controls</w:t>
        </w:r>
      </w:hyperlink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210" w:after="120"/>
        <w:ind w:hanging="283" w:start="829"/>
        <w:jc w:val="start"/>
        <w:rPr/>
      </w:pPr>
      <w:hyperlink w:anchor="runbook">
        <w:r>
          <w:rPr>
            <w:rStyle w:val="Hyperlink"/>
          </w:rPr>
          <w:t>7. Runbook and Verification Steps</w:t>
        </w:r>
      </w:hyperlink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210" w:after="120"/>
        <w:ind w:hanging="283" w:start="829"/>
        <w:jc w:val="start"/>
        <w:rPr/>
      </w:pPr>
      <w:hyperlink w:anchor="qa">
        <w:r>
          <w:rPr>
            <w:rStyle w:val="Hyperlink"/>
          </w:rPr>
          <w:t>8. Engineer Q&amp;A (Tough Questions)</w:t>
        </w:r>
      </w:hyperlink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210" w:after="120"/>
        <w:ind w:hanging="283" w:start="829"/>
        <w:jc w:val="start"/>
        <w:rPr/>
      </w:pPr>
      <w:hyperlink w:anchor="limits">
        <w:r>
          <w:rPr>
            <w:rStyle w:val="Hyperlink"/>
          </w:rPr>
          <w:t>9. Known Limits and Escalation Triggers</w:t>
        </w:r>
      </w:hyperlink>
      <w:r>
        <w:rPr/>
        <w:t xml:space="preserve"> </w:t>
      </w:r>
    </w:p>
    <w:p>
      <w:pPr>
        <w:pStyle w:val="BodyText"/>
        <w:bidi w:val="0"/>
        <w:spacing w:before="210" w:after="120"/>
        <w:jc w:val="start"/>
        <w:rPr/>
      </w:pPr>
      <w:r>
        <w:rPr>
          <w:rStyle w:val="Strong"/>
        </w:rPr>
        <w:t>Positioning:</w:t>
      </w:r>
      <w:r>
        <w:rPr/>
        <w:t xml:space="preserve"> This system is designed to keep instructional data processing on institutional infrastructure by default. </w:t>
      </w:r>
    </w:p>
    <w:p>
      <w:pPr>
        <w:pStyle w:val="BodyText"/>
        <w:bidi w:val="0"/>
        <w:spacing w:before="210" w:after="120"/>
        <w:jc w:val="start"/>
        <w:rPr/>
      </w:pPr>
      <w:r>
        <w:rPr>
          <w:rStyle w:val="Strong"/>
        </w:rPr>
        <w:t>Legal note:</w:t>
      </w:r>
      <w:r>
        <w:rPr/>
        <w:t xml:space="preserve"> This manual is technical guidance and does not replace legal counsel review. </w:t>
      </w:r>
    </w:p>
    <w:p>
      <w:pPr>
        <w:pStyle w:val="BodyText"/>
        <w:bidi w:val="0"/>
        <w:spacing w:before="210" w:after="120"/>
        <w:jc w:val="start"/>
        <w:rPr/>
      </w:pPr>
      <w:r>
        <w:rPr/>
        <w:t>1) Scope and Operating Model</w:t>
      </w:r>
    </w:p>
    <w:p>
      <w:pPr>
        <w:pStyle w:val="BodyText"/>
        <w:bidi w:val="0"/>
        <w:spacing w:before="210" w:after="120"/>
        <w:jc w:val="start"/>
        <w:rPr/>
      </w:pPr>
      <w:r>
        <w:rPr/>
        <w:t>This application provides a local-first assistant for three primary workloads: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spacing w:before="210" w:after="120"/>
        <w:ind w:hanging="283" w:start="829"/>
        <w:jc w:val="start"/>
        <w:rPr/>
      </w:pPr>
      <w:r>
        <w:rPr>
          <w:rStyle w:val="Strong"/>
        </w:rPr>
        <w:t>Reference Q&amp;A:</w:t>
      </w:r>
      <w:r>
        <w:rPr/>
        <w:t xml:space="preserve"> deterministic and retrieval-augmented answers over local corpus data.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spacing w:before="210" w:after="120"/>
        <w:ind w:hanging="283" w:start="829"/>
        <w:jc w:val="start"/>
        <w:rPr/>
      </w:pPr>
      <w:r>
        <w:rPr>
          <w:rStyle w:val="Strong"/>
        </w:rPr>
        <w:t>Audio capture and transcription:</w:t>
      </w:r>
      <w:r>
        <w:rPr/>
        <w:t xml:space="preserve"> in-app microphone capture and local speech-to-text.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spacing w:before="210" w:after="120"/>
        <w:ind w:hanging="283" w:start="829"/>
        <w:jc w:val="start"/>
        <w:rPr/>
      </w:pPr>
      <w:r>
        <w:rPr>
          <w:rStyle w:val="Strong"/>
        </w:rPr>
        <w:t>Translation:</w:t>
      </w:r>
      <w:r>
        <w:rPr/>
        <w:t xml:space="preserve"> offline machine translation with optional study-pair generation. </w:t>
      </w:r>
    </w:p>
    <w:p>
      <w:pPr>
        <w:pStyle w:val="Heading3"/>
        <w:bidi w:val="0"/>
        <w:spacing w:before="210" w:after="120"/>
        <w:jc w:val="start"/>
        <w:rPr/>
      </w:pPr>
      <w:r>
        <w:rPr/>
        <w:t>Primary design goals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spacing w:before="210" w:after="120"/>
        <w:ind w:hanging="283" w:start="829"/>
        <w:jc w:val="start"/>
        <w:rPr/>
      </w:pPr>
      <w:r>
        <w:rPr/>
        <w:t xml:space="preserve">Reduce cloud exposure of classroom artifacts.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spacing w:before="210" w:after="120"/>
        <w:ind w:hanging="283" w:start="829"/>
        <w:jc w:val="start"/>
        <w:rPr/>
      </w:pPr>
      <w:r>
        <w:rPr/>
        <w:t xml:space="preserve">Keep outputs grounded in local corpus evidence where possible.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spacing w:before="210" w:after="120"/>
        <w:ind w:hanging="283" w:start="829"/>
        <w:jc w:val="start"/>
        <w:rPr/>
      </w:pPr>
      <w:r>
        <w:rPr/>
        <w:t xml:space="preserve">Support reproducible model governance (Modelfile-based customization).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spacing w:before="210" w:after="120"/>
        <w:ind w:hanging="283" w:start="829"/>
        <w:jc w:val="start"/>
        <w:rPr/>
      </w:pPr>
      <w:r>
        <w:rPr/>
        <w:t xml:space="preserve">Offer a practical operations surface for instructors and technical staff. </w:t>
      </w:r>
    </w:p>
    <w:p>
      <w:pPr>
        <w:pStyle w:val="Heading3"/>
        <w:bidi w:val="0"/>
        <w:spacing w:before="210" w:after="120"/>
        <w:jc w:val="start"/>
        <w:rPr/>
      </w:pPr>
      <w:r>
        <w:rPr/>
        <w:t>Non-goals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210" w:after="120"/>
        <w:ind w:hanging="283" w:start="829"/>
        <w:jc w:val="start"/>
        <w:rPr/>
      </w:pPr>
      <w:r>
        <w:rPr/>
        <w:t xml:space="preserve">No claim of full legal compliance automation.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210" w:after="120"/>
        <w:ind w:hanging="283" w:start="829"/>
        <w:jc w:val="start"/>
        <w:rPr/>
      </w:pPr>
      <w:r>
        <w:rPr/>
        <w:t xml:space="preserve">No guarantee of correctness without corpus coverage and quality checks.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210" w:after="120"/>
        <w:ind w:hanging="283" w:start="829"/>
        <w:jc w:val="start"/>
        <w:rPr/>
      </w:pPr>
      <w:r>
        <w:rPr/>
        <w:t xml:space="preserve">No replacement for institutional records-retention policy and access control policy. </w:t>
      </w:r>
    </w:p>
    <w:p>
      <w:pPr>
        <w:pStyle w:val="BodyText"/>
        <w:bidi w:val="0"/>
        <w:spacing w:before="210" w:after="120"/>
        <w:jc w:val="start"/>
        <w:rPr/>
      </w:pPr>
      <w:r>
        <w:rPr/>
        <w:t>2) Architecture and Data Flows</w:t>
      </w:r>
    </w:p>
    <w:p>
      <w:pPr>
        <w:pStyle w:val="Heading3"/>
        <w:bidi w:val="0"/>
        <w:spacing w:before="210" w:after="120"/>
        <w:jc w:val="start"/>
        <w:rPr/>
      </w:pPr>
      <w:r>
        <w:rPr/>
        <w:t>High-level runtime flow</w:t>
      </w:r>
    </w:p>
    <w:p>
      <w:pPr>
        <w:pStyle w:val="PreformattedText"/>
        <w:bidi w:val="0"/>
        <w:spacing w:before="210" w:after="120"/>
        <w:jc w:val="start"/>
        <w:rPr/>
      </w:pPr>
      <w:r>
        <w:rPr/>
        <w:t>GUI (Tkinter)</w:t>
      </w:r>
    </w:p>
    <w:p>
      <w:pPr>
        <w:pStyle w:val="PreformattedText"/>
        <w:bidi w:val="0"/>
        <w:spacing w:before="210" w:after="120"/>
        <w:jc w:val="start"/>
        <w:rPr/>
      </w:pPr>
      <w:r>
        <w:rPr/>
        <w:t xml:space="preserve">  </w:t>
      </w:r>
      <w:r>
        <w:rPr/>
        <w:t>-&gt; Factbook tab asks question</w:t>
      </w:r>
    </w:p>
    <w:p>
      <w:pPr>
        <w:pStyle w:val="PreformattedText"/>
        <w:bidi w:val="0"/>
        <w:spacing w:before="210" w:after="120"/>
        <w:jc w:val="start"/>
        <w:rPr/>
      </w:pPr>
      <w:r>
        <w:rPr/>
        <w:t xml:space="preserve">    </w:t>
      </w:r>
      <w:r>
        <w:rPr/>
        <w:t>-&gt; factbook_assistant_gui._query_factbook(...)</w:t>
      </w:r>
    </w:p>
    <w:p>
      <w:pPr>
        <w:pStyle w:val="PreformattedText"/>
        <w:bidi w:val="0"/>
        <w:spacing w:before="210" w:after="120"/>
        <w:jc w:val="start"/>
        <w:rPr/>
      </w:pPr>
      <w:r>
        <w:rPr/>
        <w:t xml:space="preserve">      </w:t>
      </w:r>
      <w:r>
        <w:rPr/>
        <w:t>-&gt; citl_factbook_query.answer_question(...)</w:t>
      </w:r>
    </w:p>
    <w:p>
      <w:pPr>
        <w:pStyle w:val="PreformattedText"/>
        <w:bidi w:val="0"/>
        <w:spacing w:before="210" w:after="120"/>
        <w:jc w:val="start"/>
        <w:rPr/>
      </w:pPr>
      <w:r>
        <w:rPr/>
        <w:t xml:space="preserve">        </w:t>
      </w:r>
      <w:r>
        <w:rPr/>
        <w:t>1) deterministic local truth path (entity-locked where available)</w:t>
      </w:r>
    </w:p>
    <w:p>
      <w:pPr>
        <w:pStyle w:val="PreformattedText"/>
        <w:bidi w:val="0"/>
        <w:spacing w:before="210" w:after="120"/>
        <w:jc w:val="start"/>
        <w:rPr/>
      </w:pPr>
      <w:r>
        <w:rPr/>
        <w:t xml:space="preserve">        </w:t>
      </w:r>
      <w:r>
        <w:rPr/>
        <w:t>2) embedding retrieval from local index</w:t>
      </w:r>
    </w:p>
    <w:p>
      <w:pPr>
        <w:pStyle w:val="PreformattedText"/>
        <w:bidi w:val="0"/>
        <w:spacing w:before="210" w:after="120"/>
        <w:jc w:val="start"/>
        <w:rPr/>
      </w:pPr>
      <w:r>
        <w:rPr/>
        <w:t xml:space="preserve">        </w:t>
      </w:r>
      <w:r>
        <w:rPr/>
        <w:t>3) local Ollama generation with grounding constraints</w:t>
      </w:r>
    </w:p>
    <w:p>
      <w:pPr>
        <w:pStyle w:val="PreformattedText"/>
        <w:bidi w:val="0"/>
        <w:spacing w:before="210" w:after="120"/>
        <w:jc w:val="start"/>
        <w:rPr/>
      </w:pPr>
      <w:r>
        <w:rPr/>
        <w:t xml:space="preserve">        </w:t>
      </w:r>
      <w:r>
        <w:rPr/>
        <w:t>4) safe fallback if generation unavailable</w:t>
      </w:r>
    </w:p>
    <w:p>
      <w:pPr>
        <w:pStyle w:val="PreformattedText"/>
        <w:bidi w:val="0"/>
        <w:spacing w:before="210" w:after="120"/>
        <w:jc w:val="start"/>
        <w:rPr/>
      </w:pPr>
      <w:r>
        <w:rPr/>
      </w:r>
    </w:p>
    <w:p>
      <w:pPr>
        <w:pStyle w:val="PreformattedText"/>
        <w:bidi w:val="0"/>
        <w:spacing w:before="210" w:after="120"/>
        <w:jc w:val="start"/>
        <w:rPr/>
      </w:pPr>
      <w:r>
        <w:rPr/>
        <w:t>Audio tab</w:t>
      </w:r>
    </w:p>
    <w:p>
      <w:pPr>
        <w:pStyle w:val="PreformattedText"/>
        <w:bidi w:val="0"/>
        <w:spacing w:before="210" w:after="120"/>
        <w:jc w:val="start"/>
        <w:rPr/>
      </w:pPr>
      <w:r>
        <w:rPr/>
        <w:t xml:space="preserve">  </w:t>
      </w:r>
      <w:r>
        <w:rPr/>
        <w:t>-&gt; start_recording/stop_recording (sounddevice)</w:t>
      </w:r>
    </w:p>
    <w:p>
      <w:pPr>
        <w:pStyle w:val="PreformattedText"/>
        <w:bidi w:val="0"/>
        <w:spacing w:before="210" w:after="120"/>
        <w:jc w:val="start"/>
        <w:rPr/>
      </w:pPr>
      <w:r>
        <w:rPr/>
        <w:t xml:space="preserve">  </w:t>
      </w:r>
      <w:r>
        <w:rPr/>
        <w:t>-&gt; faster-whisper transcription (local CPU)</w:t>
      </w:r>
    </w:p>
    <w:p>
      <w:pPr>
        <w:pStyle w:val="PreformattedText"/>
        <w:bidi w:val="0"/>
        <w:spacing w:before="210" w:after="120"/>
        <w:jc w:val="start"/>
        <w:rPr/>
      </w:pPr>
      <w:r>
        <w:rPr/>
      </w:r>
    </w:p>
    <w:p>
      <w:pPr>
        <w:pStyle w:val="PreformattedText"/>
        <w:bidi w:val="0"/>
        <w:spacing w:before="210" w:after="120"/>
        <w:jc w:val="start"/>
        <w:rPr/>
      </w:pPr>
      <w:r>
        <w:rPr/>
        <w:t>Translate tab</w:t>
      </w:r>
    </w:p>
    <w:p>
      <w:pPr>
        <w:pStyle w:val="PreformattedText"/>
        <w:bidi w:val="0"/>
        <w:spacing w:before="210" w:after="120"/>
        <w:jc w:val="start"/>
        <w:rPr/>
      </w:pPr>
      <w:r>
        <w:rPr/>
        <w:t xml:space="preserve">  </w:t>
      </w:r>
      <w:r>
        <w:rPr/>
        <w:t>-&gt; argostranslate translate(...)</w:t>
      </w:r>
    </w:p>
    <w:p>
      <w:pPr>
        <w:pStyle w:val="PreformattedText"/>
        <w:bidi w:val="0"/>
        <w:spacing w:before="210" w:after="120"/>
        <w:jc w:val="start"/>
        <w:rPr/>
      </w:pPr>
      <w:r>
        <w:rPr/>
        <w:t xml:space="preserve">  </w:t>
      </w:r>
      <w:r>
        <w:rPr/>
        <w:t>-&gt; optional language-pack install</w:t>
      </w:r>
    </w:p>
    <w:p>
      <w:pPr>
        <w:pStyle w:val="PreformattedText"/>
        <w:bidi w:val="0"/>
        <w:spacing w:before="210" w:after="120"/>
        <w:jc w:val="start"/>
        <w:rPr/>
      </w:pPr>
      <w:r>
        <w:rPr/>
      </w:r>
    </w:p>
    <w:p>
      <w:pPr>
        <w:pStyle w:val="PreformattedText"/>
        <w:bidi w:val="0"/>
        <w:spacing w:before="210" w:after="120"/>
        <w:jc w:val="start"/>
        <w:rPr/>
      </w:pPr>
      <w:r>
        <w:rPr/>
        <w:t>Library/Models tab</w:t>
      </w:r>
    </w:p>
    <w:p>
      <w:pPr>
        <w:pStyle w:val="PreformattedText"/>
        <w:bidi w:val="0"/>
        <w:spacing w:before="210" w:after="120"/>
        <w:jc w:val="start"/>
        <w:rPr/>
      </w:pPr>
      <w:r>
        <w:rPr/>
        <w:t xml:space="preserve">  </w:t>
      </w:r>
      <w:r>
        <w:rPr/>
        <w:t>-&gt; corpus indexing scripts</w:t>
      </w:r>
    </w:p>
    <w:p>
      <w:pPr>
        <w:pStyle w:val="PreformattedText"/>
        <w:bidi w:val="0"/>
        <w:spacing w:before="210" w:after="120"/>
        <w:jc w:val="start"/>
        <w:rPr/>
      </w:pPr>
      <w:r>
        <w:rPr/>
        <w:t xml:space="preserve">  </w:t>
      </w:r>
      <w:r>
        <w:rPr/>
        <w:t>-&gt; Modelfile authoring</w:t>
      </w:r>
    </w:p>
    <w:p>
      <w:pPr>
        <w:pStyle w:val="PreformattedText"/>
        <w:bidi w:val="0"/>
        <w:spacing w:before="210" w:after="120"/>
        <w:jc w:val="start"/>
        <w:rPr/>
      </w:pPr>
      <w:r>
        <w:rPr/>
        <w:t xml:space="preserve">  </w:t>
      </w:r>
      <w:r>
        <w:rPr/>
        <w:t>-&gt; ollama pull/create/list lifecycle</w:t>
      </w:r>
    </w:p>
    <w:p>
      <w:pPr>
        <w:pStyle w:val="Heading3"/>
        <w:bidi w:val="0"/>
        <w:spacing w:before="210" w:after="120"/>
        <w:jc w:val="start"/>
        <w:rPr/>
      </w:pPr>
      <w:r>
        <w:rPr/>
        <w:t>Reference QA reliability layers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210" w:after="120"/>
        <w:ind w:hanging="283" w:start="829"/>
        <w:jc w:val="start"/>
        <w:rPr/>
      </w:pPr>
      <w:r>
        <w:rPr>
          <w:rStyle w:val="Strong"/>
        </w:rPr>
        <w:t>Generic reference pipeline:</w:t>
      </w:r>
      <w:r>
        <w:rPr/>
        <w:t xml:space="preserve"> </w:t>
      </w:r>
      <w:r>
        <w:rPr>
          <w:rStyle w:val="SourceText"/>
        </w:rPr>
        <w:t>citl_factbook/reference_ingest.py</w:t>
      </w:r>
      <w:r>
        <w:rPr/>
        <w:t xml:space="preserve">, </w:t>
      </w:r>
      <w:r>
        <w:rPr>
          <w:rStyle w:val="SourceText"/>
        </w:rPr>
        <w:t>reference_db.py</w:t>
      </w:r>
      <w:r>
        <w:rPr/>
        <w:t xml:space="preserve">, </w:t>
      </w:r>
      <w:r>
        <w:rPr>
          <w:rStyle w:val="SourceText"/>
        </w:rPr>
        <w:t>reference_query.py</w:t>
      </w:r>
      <w:r>
        <w:rPr/>
        <w:t xml:space="preserve">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210" w:after="120"/>
        <w:ind w:hanging="283" w:start="829"/>
        <w:jc w:val="start"/>
        <w:rPr/>
      </w:pPr>
      <w:r>
        <w:rPr>
          <w:rStyle w:val="Strong"/>
        </w:rPr>
        <w:t>Entity-locked answering:</w:t>
      </w:r>
      <w:r>
        <w:rPr/>
        <w:t xml:space="preserve"> entity detection + canonical-field routing + constrained lookup.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210" w:after="120"/>
        <w:ind w:hanging="283" w:start="829"/>
        <w:jc w:val="start"/>
        <w:rPr/>
      </w:pPr>
      <w:r>
        <w:rPr>
          <w:rStyle w:val="Strong"/>
        </w:rPr>
        <w:t>Fallback strategy:</w:t>
      </w:r>
      <w:r>
        <w:rPr/>
        <w:t xml:space="preserve"> deterministic answer path preferred; safe refusal when reliability checks fail. </w:t>
      </w:r>
    </w:p>
    <w:p>
      <w:pPr>
        <w:pStyle w:val="BodyText"/>
        <w:bidi w:val="0"/>
        <w:spacing w:before="210" w:after="120"/>
        <w:jc w:val="start"/>
        <w:rPr/>
      </w:pPr>
      <w:r>
        <w:rPr>
          <w:rStyle w:val="Strong"/>
        </w:rPr>
        <w:t>Core reliability principle:</w:t>
      </w:r>
      <w:r>
        <w:rPr/>
        <w:t xml:space="preserve"> Do not emit unconstrained high-rank chunk text as final answer when grounding cannot be verified. </w:t>
      </w:r>
    </w:p>
    <w:p>
      <w:pPr>
        <w:pStyle w:val="BodyText"/>
        <w:bidi w:val="0"/>
        <w:spacing w:before="210" w:after="120"/>
        <w:jc w:val="start"/>
        <w:rPr/>
      </w:pPr>
      <w:r>
        <w:rPr/>
        <w:t>3) Important Files and Responsibilities</w:t>
      </w:r>
    </w:p>
    <w:p>
      <w:pPr>
        <w:pStyle w:val="BodyTextsmall"/>
        <w:bidi w:val="0"/>
        <w:spacing w:before="210" w:after="120"/>
        <w:jc w:val="start"/>
        <w:rPr/>
      </w:pPr>
      <w:r>
        <w:rPr/>
        <w:t>Paths are relative to repository root.</w:t>
      </w:r>
    </w:p>
    <w:tbl>
      <w:tblPr>
        <w:tblW w:w="9935" w:type="dxa"/>
        <w:jc w:val="start"/>
        <w:tblInd w:w="135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465"/>
        <w:gridCol w:w="2688"/>
        <w:gridCol w:w="2782"/>
      </w:tblGrid>
      <w:tr>
        <w:trPr>
          <w:tblHeader w:val="true"/>
        </w:trPr>
        <w:tc>
          <w:tcPr>
            <w:tcW w:w="446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File</w:t>
            </w:r>
          </w:p>
        </w:tc>
        <w:tc>
          <w:tcPr>
            <w:tcW w:w="268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Primary Responsibility</w:t>
            </w:r>
          </w:p>
        </w:tc>
        <w:tc>
          <w:tcPr>
            <w:tcW w:w="278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Operational Notes</w:t>
            </w:r>
          </w:p>
        </w:tc>
      </w:tr>
      <w:tr>
        <w:trPr/>
        <w:tc>
          <w:tcPr>
            <w:tcW w:w="446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factbook_assistant_gui.py</w:t>
            </w:r>
          </w:p>
        </w:tc>
        <w:tc>
          <w:tcPr>
            <w:tcW w:w="26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Root launcher wrapper that delegates to package GUI.</w:t>
            </w:r>
          </w:p>
        </w:tc>
        <w:tc>
          <w:tcPr>
            <w:tcW w:w="278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Ensures </w:t>
            </w:r>
            <w:r>
              <w:rPr>
                <w:rStyle w:val="SourceText"/>
              </w:rPr>
              <w:t>factbook-assistant/</w:t>
            </w:r>
            <w:r>
              <w:rPr/>
              <w:t xml:space="preserve"> is on </w:t>
            </w:r>
            <w:r>
              <w:rPr>
                <w:rStyle w:val="SourceText"/>
              </w:rPr>
              <w:t>sys.path</w:t>
            </w:r>
            <w:r>
              <w:rPr/>
              <w:t>.</w:t>
            </w:r>
          </w:p>
        </w:tc>
      </w:tr>
      <w:tr>
        <w:trPr/>
        <w:tc>
          <w:tcPr>
            <w:tcW w:w="446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factbook-assistant/factbook_assistant_gui.py</w:t>
            </w:r>
          </w:p>
        </w:tc>
        <w:tc>
          <w:tcPr>
            <w:tcW w:w="26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Main desktop UI (tabs, buttons, model management, query dispatch).</w:t>
            </w:r>
          </w:p>
        </w:tc>
        <w:tc>
          <w:tcPr>
            <w:tcW w:w="278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Central control-plane for most operator workflows.</w:t>
            </w:r>
          </w:p>
        </w:tc>
      </w:tr>
      <w:tr>
        <w:trPr/>
        <w:tc>
          <w:tcPr>
            <w:tcW w:w="446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factbook-assistant/citl_factbook_query.py</w:t>
            </w:r>
          </w:p>
        </w:tc>
        <w:tc>
          <w:tcPr>
            <w:tcW w:w="26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Reference-answer orchestration, embedding retrieval, Ollama generation, fallback behavior.</w:t>
            </w:r>
          </w:p>
        </w:tc>
        <w:tc>
          <w:tcPr>
            <w:tcW w:w="278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Contains strict grounding safeguards and model resolution logic.</w:t>
            </w:r>
          </w:p>
        </w:tc>
      </w:tr>
      <w:tr>
        <w:trPr/>
        <w:tc>
          <w:tcPr>
            <w:tcW w:w="446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factbook-assistant/citl_factbook/reference_ingest.py</w:t>
            </w:r>
          </w:p>
        </w:tc>
        <w:tc>
          <w:tcPr>
            <w:tcW w:w="26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Generic corpus parser/ingester into entity + section structures.</w:t>
            </w:r>
          </w:p>
        </w:tc>
        <w:tc>
          <w:tcPr>
            <w:tcW w:w="278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Supports configurable regex/header/canonical-field mappings.</w:t>
            </w:r>
          </w:p>
        </w:tc>
      </w:tr>
      <w:tr>
        <w:trPr/>
        <w:tc>
          <w:tcPr>
            <w:tcW w:w="446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factbook-assistant/citl_factbook/reference_db.py</w:t>
            </w:r>
          </w:p>
        </w:tc>
        <w:tc>
          <w:tcPr>
            <w:tcW w:w="26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SQLite schema + FTS operations for corpora/entities/sections.</w:t>
            </w:r>
          </w:p>
        </w:tc>
        <w:tc>
          <w:tcPr>
            <w:tcW w:w="278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Contains structured lookup and entity-scoped FTS fallback.</w:t>
            </w:r>
          </w:p>
        </w:tc>
      </w:tr>
      <w:tr>
        <w:trPr/>
        <w:tc>
          <w:tcPr>
            <w:tcW w:w="446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factbook-assistant/citl_factbook/reference_query.py</w:t>
            </w:r>
          </w:p>
        </w:tc>
        <w:tc>
          <w:tcPr>
            <w:tcW w:w="26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Query planning (entity, intent, field), execution, rendering.</w:t>
            </w:r>
          </w:p>
        </w:tc>
        <w:tc>
          <w:tcPr>
            <w:tcW w:w="278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Implements comparison mode and reliability outcomes.</w:t>
            </w:r>
          </w:p>
        </w:tc>
      </w:tr>
      <w:tr>
        <w:trPr/>
        <w:tc>
          <w:tcPr>
            <w:tcW w:w="446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factbook-assistant/citl_factbook/reference_config.py</w:t>
            </w:r>
          </w:p>
        </w:tc>
        <w:tc>
          <w:tcPr>
            <w:tcW w:w="26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Default parser/field config and optional JSON/YAML override load.</w:t>
            </w:r>
          </w:p>
        </w:tc>
        <w:tc>
          <w:tcPr>
            <w:tcW w:w="278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Key extension point for non-Factbook reference corpora.</w:t>
            </w:r>
          </w:p>
        </w:tc>
      </w:tr>
      <w:tr>
        <w:trPr/>
        <w:tc>
          <w:tcPr>
            <w:tcW w:w="446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factbook-assistant/citl_factbook/cli.py</w:t>
            </w:r>
          </w:p>
        </w:tc>
        <w:tc>
          <w:tcPr>
            <w:tcW w:w="26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CLI entrypoint for offline reference QA.</w:t>
            </w:r>
          </w:p>
        </w:tc>
        <w:tc>
          <w:tcPr>
            <w:tcW w:w="278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Uses reference pipeline first, legacy retrieval fallback second.</w:t>
            </w:r>
          </w:p>
        </w:tc>
      </w:tr>
      <w:tr>
        <w:trPr/>
        <w:tc>
          <w:tcPr>
            <w:tcW w:w="446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factbook-assistant/citl_factbook/retrieve.py</w:t>
            </w:r>
          </w:p>
        </w:tc>
        <w:tc>
          <w:tcPr>
            <w:tcW w:w="26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Legacy keyword scoring retriever over JSONL index.</w:t>
            </w:r>
          </w:p>
        </w:tc>
        <w:tc>
          <w:tcPr>
            <w:tcW w:w="278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Basic fallback, not the preferred reliability path.</w:t>
            </w:r>
          </w:p>
        </w:tc>
      </w:tr>
      <w:tr>
        <w:trPr/>
        <w:tc>
          <w:tcPr>
            <w:tcW w:w="446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factbook-assistant/citl_factbook/ollama_client.py</w:t>
            </w:r>
          </w:p>
        </w:tc>
        <w:tc>
          <w:tcPr>
            <w:tcW w:w="26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Simple Ollama generate client using env-configured model/host.</w:t>
            </w:r>
          </w:p>
        </w:tc>
        <w:tc>
          <w:tcPr>
            <w:tcW w:w="278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Legacy/simple generation utility.</w:t>
            </w:r>
          </w:p>
        </w:tc>
      </w:tr>
      <w:tr>
        <w:trPr/>
        <w:tc>
          <w:tcPr>
            <w:tcW w:w="446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factbook-assistant/build_corpus_index.py</w:t>
            </w:r>
          </w:p>
        </w:tc>
        <w:tc>
          <w:tcPr>
            <w:tcW w:w="26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Builds local embedding index from file/dir sources.</w:t>
            </w:r>
          </w:p>
        </w:tc>
        <w:tc>
          <w:tcPr>
            <w:tcW w:w="278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Auto-defaults </w:t>
            </w:r>
            <w:r>
              <w:rPr>
                <w:rStyle w:val="SourceText"/>
              </w:rPr>
              <w:t>--src</w:t>
            </w:r>
            <w:r>
              <w:rPr/>
              <w:t>/</w:t>
            </w:r>
            <w:r>
              <w:rPr>
                <w:rStyle w:val="SourceText"/>
              </w:rPr>
              <w:t>--out</w:t>
            </w:r>
            <w:r>
              <w:rPr/>
              <w:t xml:space="preserve"> for GUI-triggered calls.</w:t>
            </w:r>
          </w:p>
        </w:tc>
      </w:tr>
      <w:tr>
        <w:trPr/>
        <w:tc>
          <w:tcPr>
            <w:tcW w:w="446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factbook-assistant/build_factbook_index.py</w:t>
            </w:r>
          </w:p>
        </w:tc>
        <w:tc>
          <w:tcPr>
            <w:tcW w:w="26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Factbook-specific embedding index build path.</w:t>
            </w:r>
          </w:p>
        </w:tc>
        <w:tc>
          <w:tcPr>
            <w:tcW w:w="278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Triggered from Library/Models tab button.</w:t>
            </w:r>
          </w:p>
        </w:tc>
      </w:tr>
      <w:tr>
        <w:trPr/>
        <w:tc>
          <w:tcPr>
            <w:tcW w:w="446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factbook-assistant/citl_audio_ffmpeg_graceful_v2.py</w:t>
            </w:r>
          </w:p>
        </w:tc>
        <w:tc>
          <w:tcPr>
            <w:tcW w:w="26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Audio device discovery, recording start/stop, diagnostics.</w:t>
            </w:r>
          </w:p>
        </w:tc>
        <w:tc>
          <w:tcPr>
            <w:tcW w:w="278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Primary recording path uses </w:t>
            </w:r>
            <w:r>
              <w:rPr>
                <w:rStyle w:val="SourceText"/>
              </w:rPr>
              <w:t>sounddevice</w:t>
            </w:r>
            <w:r>
              <w:rPr/>
              <w:t>; FFmpeg used for diagnostics/compatibility.</w:t>
            </w:r>
          </w:p>
        </w:tc>
      </w:tr>
      <w:tr>
        <w:trPr/>
        <w:tc>
          <w:tcPr>
            <w:tcW w:w="446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factbook-assistant/citl_translation.py</w:t>
            </w:r>
          </w:p>
        </w:tc>
        <w:tc>
          <w:tcPr>
            <w:tcW w:w="26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Offline translation and language-pack install wrappers.</w:t>
            </w:r>
          </w:p>
        </w:tc>
        <w:tc>
          <w:tcPr>
            <w:tcW w:w="278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Built on </w:t>
            </w:r>
            <w:r>
              <w:rPr>
                <w:rStyle w:val="SourceText"/>
              </w:rPr>
              <w:t>argostranslate</w:t>
            </w:r>
            <w:r>
              <w:rPr/>
              <w:t>.</w:t>
            </w:r>
          </w:p>
        </w:tc>
      </w:tr>
      <w:tr>
        <w:trPr/>
        <w:tc>
          <w:tcPr>
            <w:tcW w:w="446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factbook-assistant/citl_transcribe_lecture.py</w:t>
            </w:r>
          </w:p>
        </w:tc>
        <w:tc>
          <w:tcPr>
            <w:tcW w:w="26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Lecture CLI (record, transcribe, optional summarize).</w:t>
            </w:r>
          </w:p>
        </w:tc>
        <w:tc>
          <w:tcPr>
            <w:tcW w:w="278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Useful for scripted/terminal workflows.</w:t>
            </w:r>
          </w:p>
        </w:tc>
      </w:tr>
      <w:tr>
        <w:trPr/>
        <w:tc>
          <w:tcPr>
            <w:tcW w:w="446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factbook-assistant/citl_class_capture.py</w:t>
            </w:r>
          </w:p>
        </w:tc>
        <w:tc>
          <w:tcPr>
            <w:tcW w:w="26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Class capture UI with recording + whisper transcription + VTT export.</w:t>
            </w:r>
          </w:p>
        </w:tc>
        <w:tc>
          <w:tcPr>
            <w:tcW w:w="278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Alternate capture experience.</w:t>
            </w:r>
          </w:p>
        </w:tc>
      </w:tr>
      <w:tr>
        <w:trPr/>
        <w:tc>
          <w:tcPr>
            <w:tcW w:w="446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factbook-assistant/citl_modelfile.py</w:t>
            </w:r>
          </w:p>
        </w:tc>
        <w:tc>
          <w:tcPr>
            <w:tcW w:w="26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Parses Modelfile metadata and extracts base/system fields.</w:t>
            </w:r>
          </w:p>
        </w:tc>
        <w:tc>
          <w:tcPr>
            <w:tcW w:w="278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Backs GUI modelfile load/apply behavior.</w:t>
            </w:r>
          </w:p>
        </w:tc>
      </w:tr>
      <w:tr>
        <w:trPr/>
        <w:tc>
          <w:tcPr>
            <w:tcW w:w="446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factbook-assistant/citl_theme.py</w:t>
            </w:r>
          </w:p>
        </w:tc>
        <w:tc>
          <w:tcPr>
            <w:tcW w:w="26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Theme palette definitions and apply helper.</w:t>
            </w:r>
          </w:p>
        </w:tc>
        <w:tc>
          <w:tcPr>
            <w:tcW w:w="278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Includes accessible dark/light palette set.</w:t>
            </w:r>
          </w:p>
        </w:tc>
      </w:tr>
      <w:tr>
        <w:trPr/>
        <w:tc>
          <w:tcPr>
            <w:tcW w:w="446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factbook-assistant/citl_app_sync.py</w:t>
            </w:r>
          </w:p>
        </w:tc>
        <w:tc>
          <w:tcPr>
            <w:tcW w:w="26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Cross-platform repository sync utility for external/USB targets.</w:t>
            </w:r>
          </w:p>
        </w:tc>
        <w:tc>
          <w:tcPr>
            <w:tcW w:w="278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Excludes large caches/models/audio by default.</w:t>
            </w:r>
          </w:p>
        </w:tc>
      </w:tr>
      <w:tr>
        <w:trPr/>
        <w:tc>
          <w:tcPr>
            <w:tcW w:w="446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data/citl/config_citl-mainframe-All-Series.json</w:t>
            </w:r>
          </w:p>
        </w:tc>
        <w:tc>
          <w:tcPr>
            <w:tcW w:w="26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Local persisted operational profile (model, host, theme, modelfile path).</w:t>
            </w:r>
          </w:p>
        </w:tc>
        <w:tc>
          <w:tcPr>
            <w:tcW w:w="278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Primary provenance and runtime default source on this host.</w:t>
            </w:r>
          </w:p>
        </w:tc>
      </w:tr>
      <w:tr>
        <w:trPr/>
        <w:tc>
          <w:tcPr>
            <w:tcW w:w="446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data/citl/modelfiles/Modelfile.citl-custom4qw</w:t>
            </w:r>
          </w:p>
        </w:tc>
        <w:tc>
          <w:tcPr>
            <w:tcW w:w="26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CITL model customization profile (FROM base + SYSTEM prompt).</w:t>
            </w:r>
          </w:p>
        </w:tc>
        <w:tc>
          <w:tcPr>
            <w:tcW w:w="278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Documents local custom-model behavior and constraints.</w:t>
            </w:r>
          </w:p>
        </w:tc>
      </w:tr>
      <w:tr>
        <w:trPr/>
        <w:tc>
          <w:tcPr>
            <w:tcW w:w="446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factbook-assistant/tests/test_factbook_reliable_qa.py</w:t>
            </w:r>
          </w:p>
        </w:tc>
        <w:tc>
          <w:tcPr>
            <w:tcW w:w="26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Reliability tests for factbook workflow (goldens + negative controls).</w:t>
            </w:r>
          </w:p>
        </w:tc>
        <w:tc>
          <w:tcPr>
            <w:tcW w:w="278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Includes Iran-vs-UAE contamination regression guard.</w:t>
            </w:r>
          </w:p>
        </w:tc>
      </w:tr>
      <w:tr>
        <w:trPr/>
        <w:tc>
          <w:tcPr>
            <w:tcW w:w="446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factbook-assistant/tests/test_reference_pipeline_generic.py</w:t>
            </w:r>
          </w:p>
        </w:tc>
        <w:tc>
          <w:tcPr>
            <w:tcW w:w="26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Generic non-Factbook reference-pipeline behavior tests.</w:t>
            </w:r>
          </w:p>
        </w:tc>
        <w:tc>
          <w:tcPr>
            <w:tcW w:w="278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Validates entity-locking and unknown-field fail-safe behavior.</w:t>
            </w:r>
          </w:p>
        </w:tc>
      </w:tr>
    </w:tbl>
    <w:p>
      <w:pPr>
        <w:pStyle w:val="BodyText"/>
        <w:bidi w:val="0"/>
        <w:spacing w:before="210" w:after="120"/>
        <w:ind w:hanging="0" w:start="135" w:end="135"/>
        <w:jc w:val="start"/>
        <w:rPr/>
      </w:pPr>
      <w:r>
        <w:rPr/>
        <w:t>4) GUI Control and Button Reference (Main Window)</w:t>
      </w:r>
    </w:p>
    <w:p>
      <w:pPr>
        <w:pStyle w:val="Heading3"/>
        <w:bidi w:val="0"/>
        <w:spacing w:before="210" w:after="120"/>
        <w:jc w:val="start"/>
        <w:rPr/>
      </w:pPr>
      <w:r>
        <w:rPr/>
        <w:t>Toolbar controls</w:t>
      </w:r>
    </w:p>
    <w:tbl>
      <w:tblPr>
        <w:tblW w:w="9935" w:type="dxa"/>
        <w:jc w:val="start"/>
        <w:tblInd w:w="135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77"/>
        <w:gridCol w:w="2457"/>
        <w:gridCol w:w="3597"/>
        <w:gridCol w:w="2304"/>
      </w:tblGrid>
      <w:tr>
        <w:trPr>
          <w:tblHeader w:val="true"/>
        </w:trPr>
        <w:tc>
          <w:tcPr>
            <w:tcW w:w="157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Control</w:t>
            </w:r>
          </w:p>
        </w:tc>
        <w:tc>
          <w:tcPr>
            <w:tcW w:w="245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Handler</w:t>
            </w:r>
          </w:p>
        </w:tc>
        <w:tc>
          <w:tcPr>
            <w:tcW w:w="359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Technical Action</w:t>
            </w:r>
          </w:p>
        </w:tc>
        <w:tc>
          <w:tcPr>
            <w:tcW w:w="230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State Impact</w:t>
            </w:r>
          </w:p>
        </w:tc>
      </w:tr>
      <w:tr>
        <w:trPr/>
        <w:tc>
          <w:tcPr>
            <w:tcW w:w="157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Load Modelfile</w:t>
            </w:r>
          </w:p>
        </w:tc>
        <w:tc>
          <w:tcPr>
            <w:tcW w:w="245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on_load_modelfile()</w:t>
            </w:r>
          </w:p>
        </w:tc>
        <w:tc>
          <w:tcPr>
            <w:tcW w:w="359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Opens file picker, parses metadata/system/base, applies profile to UI, refreshes model lists, may trigger auto-graft check.</w:t>
            </w:r>
          </w:p>
        </w:tc>
        <w:tc>
          <w:tcPr>
            <w:tcW w:w="230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Updates config keys: model/base/theme/bot/language/system prompt.</w:t>
            </w:r>
          </w:p>
        </w:tc>
      </w:tr>
      <w:tr>
        <w:trPr/>
        <w:tc>
          <w:tcPr>
            <w:tcW w:w="157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USB Sync</w:t>
            </w:r>
          </w:p>
        </w:tc>
        <w:tc>
          <w:tcPr>
            <w:tcW w:w="245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on_open_usb_sync()</w:t>
            </w:r>
          </w:p>
        </w:tc>
        <w:tc>
          <w:tcPr>
            <w:tcW w:w="359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Launches app sync utility window for cross-repo synchronization.</w:t>
            </w:r>
          </w:p>
        </w:tc>
        <w:tc>
          <w:tcPr>
            <w:tcW w:w="230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No model state change; may copy files to external target.</w:t>
            </w:r>
          </w:p>
        </w:tc>
      </w:tr>
      <w:tr>
        <w:trPr/>
        <w:tc>
          <w:tcPr>
            <w:tcW w:w="157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Theme dropdown</w:t>
            </w:r>
          </w:p>
        </w:tc>
        <w:tc>
          <w:tcPr>
            <w:tcW w:w="245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on_theme_changed()</w:t>
            </w:r>
          </w:p>
        </w:tc>
        <w:tc>
          <w:tcPr>
            <w:tcW w:w="359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Applies palette from </w:t>
            </w:r>
            <w:r>
              <w:rPr>
                <w:rStyle w:val="SourceText"/>
              </w:rPr>
              <w:t>citl_theme</w:t>
            </w:r>
            <w:r>
              <w:rPr/>
              <w:t>.</w:t>
            </w:r>
          </w:p>
        </w:tc>
        <w:tc>
          <w:tcPr>
            <w:tcW w:w="230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Writes </w:t>
            </w:r>
            <w:r>
              <w:rPr>
                <w:rStyle w:val="SourceText"/>
              </w:rPr>
              <w:t>theme</w:t>
            </w:r>
            <w:r>
              <w:rPr/>
              <w:t xml:space="preserve"> to config.</w:t>
            </w:r>
          </w:p>
        </w:tc>
      </w:tr>
    </w:tbl>
    <w:p>
      <w:pPr>
        <w:pStyle w:val="Heading3"/>
        <w:bidi w:val="0"/>
        <w:spacing w:before="210" w:after="120"/>
        <w:jc w:val="start"/>
        <w:rPr/>
      </w:pPr>
      <w:r>
        <w:rPr/>
        <w:t>Factbook tab</w:t>
      </w:r>
    </w:p>
    <w:tbl>
      <w:tblPr>
        <w:tblW w:w="9935" w:type="dxa"/>
        <w:jc w:val="start"/>
        <w:tblInd w:w="135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84"/>
        <w:gridCol w:w="3712"/>
        <w:gridCol w:w="2250"/>
        <w:gridCol w:w="2589"/>
      </w:tblGrid>
      <w:tr>
        <w:trPr>
          <w:tblHeader w:val="true"/>
        </w:trPr>
        <w:tc>
          <w:tcPr>
            <w:tcW w:w="138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Control</w:t>
            </w:r>
          </w:p>
        </w:tc>
        <w:tc>
          <w:tcPr>
            <w:tcW w:w="371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Handler</w:t>
            </w:r>
          </w:p>
        </w:tc>
        <w:tc>
          <w:tcPr>
            <w:tcW w:w="225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Technical Action</w:t>
            </w:r>
          </w:p>
        </w:tc>
        <w:tc>
          <w:tcPr>
            <w:tcW w:w="258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Dependencies</w:t>
            </w:r>
          </w:p>
        </w:tc>
      </w:tr>
      <w:tr>
        <w:trPr/>
        <w:tc>
          <w:tcPr>
            <w:tcW w:w="138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Refresh Models</w:t>
            </w:r>
          </w:p>
        </w:tc>
        <w:tc>
          <w:tcPr>
            <w:tcW w:w="371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on_refresh_models()</w:t>
            </w:r>
          </w:p>
        </w:tc>
        <w:tc>
          <w:tcPr>
            <w:tcW w:w="225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Fetches </w:t>
            </w:r>
            <w:r>
              <w:rPr>
                <w:rStyle w:val="SourceText"/>
              </w:rPr>
              <w:t>/api/tags</w:t>
            </w:r>
            <w:r>
              <w:rPr/>
              <w:t xml:space="preserve"> from Ollama, merges JSON model list + saved models, de-duplicates, repopulates combos.</w:t>
            </w:r>
          </w:p>
        </w:tc>
        <w:tc>
          <w:tcPr>
            <w:tcW w:w="25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Ollama reachable or JSON model list fallback.</w:t>
            </w:r>
          </w:p>
        </w:tc>
      </w:tr>
      <w:tr>
        <w:trPr/>
        <w:tc>
          <w:tcPr>
            <w:tcW w:w="138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Load Model JSON</w:t>
            </w:r>
          </w:p>
        </w:tc>
        <w:tc>
          <w:tcPr>
            <w:tcW w:w="371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on_load_model_json()</w:t>
            </w:r>
          </w:p>
        </w:tc>
        <w:tc>
          <w:tcPr>
            <w:tcW w:w="225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Loads external JSON and extracts model names recursively from common keys.</w:t>
            </w:r>
          </w:p>
        </w:tc>
        <w:tc>
          <w:tcPr>
            <w:tcW w:w="25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Readable JSON file.</w:t>
            </w:r>
          </w:p>
        </w:tc>
      </w:tr>
      <w:tr>
        <w:trPr/>
        <w:tc>
          <w:tcPr>
            <w:tcW w:w="138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Ask Factbook</w:t>
            </w:r>
          </w:p>
        </w:tc>
        <w:tc>
          <w:tcPr>
            <w:tcW w:w="371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on_ask_factbook()</w:t>
            </w:r>
          </w:p>
        </w:tc>
        <w:tc>
          <w:tcPr>
            <w:tcW w:w="225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Captures question/model/host; async call to </w:t>
            </w:r>
            <w:r>
              <w:rPr>
                <w:rStyle w:val="SourceText"/>
              </w:rPr>
              <w:t>_query_factbook()</w:t>
            </w:r>
            <w:r>
              <w:rPr/>
              <w:t xml:space="preserve"> and writes response to output pane.</w:t>
            </w:r>
          </w:p>
        </w:tc>
        <w:tc>
          <w:tcPr>
            <w:tcW w:w="25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citl_factbook_query</w:t>
            </w:r>
            <w:r>
              <w:rPr/>
              <w:t>, local index files, Ollama (optional depending on deterministic path).</w:t>
            </w:r>
          </w:p>
        </w:tc>
      </w:tr>
      <w:tr>
        <w:trPr/>
        <w:tc>
          <w:tcPr>
            <w:tcW w:w="138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Translate Answer</w:t>
            </w:r>
          </w:p>
        </w:tc>
        <w:tc>
          <w:tcPr>
            <w:tcW w:w="371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on_send_factbook_to_translate()</w:t>
            </w:r>
          </w:p>
        </w:tc>
        <w:tc>
          <w:tcPr>
            <w:tcW w:w="225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Copies Factbook output text into Translate tab source and switches tab.</w:t>
            </w:r>
          </w:p>
        </w:tc>
        <w:tc>
          <w:tcPr>
            <w:tcW w:w="25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None.</w:t>
            </w:r>
          </w:p>
        </w:tc>
      </w:tr>
    </w:tbl>
    <w:p>
      <w:pPr>
        <w:pStyle w:val="Heading3"/>
        <w:bidi w:val="0"/>
        <w:spacing w:before="210" w:after="120"/>
        <w:jc w:val="start"/>
        <w:rPr/>
      </w:pPr>
      <w:r>
        <w:rPr/>
        <w:t>Audio / Transcribe tab</w:t>
      </w:r>
    </w:p>
    <w:tbl>
      <w:tblPr>
        <w:tblW w:w="9935" w:type="dxa"/>
        <w:jc w:val="start"/>
        <w:tblInd w:w="135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41"/>
        <w:gridCol w:w="3830"/>
        <w:gridCol w:w="2645"/>
        <w:gridCol w:w="1719"/>
      </w:tblGrid>
      <w:tr>
        <w:trPr>
          <w:tblHeader w:val="true"/>
        </w:trPr>
        <w:tc>
          <w:tcPr>
            <w:tcW w:w="174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Control</w:t>
            </w:r>
          </w:p>
        </w:tc>
        <w:tc>
          <w:tcPr>
            <w:tcW w:w="383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Handler</w:t>
            </w:r>
          </w:p>
        </w:tc>
        <w:tc>
          <w:tcPr>
            <w:tcW w:w="264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Technical Action</w:t>
            </w:r>
          </w:p>
        </w:tc>
        <w:tc>
          <w:tcPr>
            <w:tcW w:w="171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Output</w:t>
            </w:r>
          </w:p>
        </w:tc>
      </w:tr>
      <w:tr>
        <w:trPr/>
        <w:tc>
          <w:tcPr>
            <w:tcW w:w="174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Refresh</w:t>
            </w:r>
          </w:p>
        </w:tc>
        <w:tc>
          <w:tcPr>
            <w:tcW w:w="383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refresh_devices()</w:t>
            </w:r>
          </w:p>
        </w:tc>
        <w:tc>
          <w:tcPr>
            <w:tcW w:w="264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Enumerates input devices; updates saved device selection.</w:t>
            </w:r>
          </w:p>
        </w:tc>
        <w:tc>
          <w:tcPr>
            <w:tcW w:w="171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Device list + status message.</w:t>
            </w:r>
          </w:p>
        </w:tc>
      </w:tr>
      <w:tr>
        <w:trPr/>
        <w:tc>
          <w:tcPr>
            <w:tcW w:w="174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Reset Saved</w:t>
            </w:r>
          </w:p>
        </w:tc>
        <w:tc>
          <w:tcPr>
            <w:tcW w:w="383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reset_saved_device()</w:t>
            </w:r>
          </w:p>
        </w:tc>
        <w:tc>
          <w:tcPr>
            <w:tcW w:w="264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Clears persisted audio device from config and re-enumerates.</w:t>
            </w:r>
          </w:p>
        </w:tc>
        <w:tc>
          <w:tcPr>
            <w:tcW w:w="171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Config update.</w:t>
            </w:r>
          </w:p>
        </w:tc>
      </w:tr>
      <w:tr>
        <w:trPr/>
        <w:tc>
          <w:tcPr>
            <w:tcW w:w="174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Diagnostics</w:t>
            </w:r>
          </w:p>
        </w:tc>
        <w:tc>
          <w:tcPr>
            <w:tcW w:w="383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on_diagnostics()</w:t>
            </w:r>
          </w:p>
        </w:tc>
        <w:tc>
          <w:tcPr>
            <w:tcW w:w="264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Prints audio diagnostics (including dshow note on Linux).</w:t>
            </w:r>
          </w:p>
        </w:tc>
        <w:tc>
          <w:tcPr>
            <w:tcW w:w="171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Diagnostics text pane.</w:t>
            </w:r>
          </w:p>
        </w:tc>
      </w:tr>
      <w:tr>
        <w:trPr/>
        <w:tc>
          <w:tcPr>
            <w:tcW w:w="174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Start Recording</w:t>
            </w:r>
          </w:p>
        </w:tc>
        <w:tc>
          <w:tcPr>
            <w:tcW w:w="383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on_start()</w:t>
            </w:r>
          </w:p>
        </w:tc>
        <w:tc>
          <w:tcPr>
            <w:tcW w:w="264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Calls </w:t>
            </w:r>
            <w:r>
              <w:rPr>
                <w:rStyle w:val="SourceText"/>
              </w:rPr>
              <w:t>start_recording()</w:t>
            </w:r>
            <w:r>
              <w:rPr/>
              <w:t>, creates WAV in recordings directory, caches handle.</w:t>
            </w:r>
          </w:p>
        </w:tc>
        <w:tc>
          <w:tcPr>
            <w:tcW w:w="171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Live recording stream.</w:t>
            </w:r>
          </w:p>
        </w:tc>
      </w:tr>
      <w:tr>
        <w:trPr/>
        <w:tc>
          <w:tcPr>
            <w:tcW w:w="174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Stop Recording</w:t>
            </w:r>
          </w:p>
        </w:tc>
        <w:tc>
          <w:tcPr>
            <w:tcW w:w="383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on_stop()</w:t>
            </w:r>
          </w:p>
        </w:tc>
        <w:tc>
          <w:tcPr>
            <w:tcW w:w="264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Stops stream, validates WAV signal metrics, logs evidence line.</w:t>
            </w:r>
          </w:p>
        </w:tc>
        <w:tc>
          <w:tcPr>
            <w:tcW w:w="171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Saved WAV and metrics log.</w:t>
            </w:r>
          </w:p>
        </w:tc>
      </w:tr>
      <w:tr>
        <w:trPr/>
        <w:tc>
          <w:tcPr>
            <w:tcW w:w="174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Open Recordings Folder</w:t>
            </w:r>
          </w:p>
        </w:tc>
        <w:tc>
          <w:tcPr>
            <w:tcW w:w="383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on_open_recordings_folder()</w:t>
            </w:r>
          </w:p>
        </w:tc>
        <w:tc>
          <w:tcPr>
            <w:tcW w:w="264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Opens recordings directory via OS file manager.</w:t>
            </w:r>
          </w:p>
        </w:tc>
        <w:tc>
          <w:tcPr>
            <w:tcW w:w="171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Folder view.</w:t>
            </w:r>
          </w:p>
        </w:tc>
      </w:tr>
      <w:tr>
        <w:trPr/>
        <w:tc>
          <w:tcPr>
            <w:tcW w:w="174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Open Last WAV</w:t>
            </w:r>
          </w:p>
        </w:tc>
        <w:tc>
          <w:tcPr>
            <w:tcW w:w="383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on_open_last_wav()</w:t>
            </w:r>
          </w:p>
        </w:tc>
        <w:tc>
          <w:tcPr>
            <w:tcW w:w="264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Opens latest recorded WAV in system default app.</w:t>
            </w:r>
          </w:p>
        </w:tc>
        <w:tc>
          <w:tcPr>
            <w:tcW w:w="171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File open.</w:t>
            </w:r>
          </w:p>
        </w:tc>
      </w:tr>
      <w:tr>
        <w:trPr/>
        <w:tc>
          <w:tcPr>
            <w:tcW w:w="174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Transcribe Last WAV</w:t>
            </w:r>
          </w:p>
        </w:tc>
        <w:tc>
          <w:tcPr>
            <w:tcW w:w="383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on_transcribe()</w:t>
            </w:r>
          </w:p>
        </w:tc>
        <w:tc>
          <w:tcPr>
            <w:tcW w:w="264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Runs </w:t>
            </w:r>
            <w:r>
              <w:rPr>
                <w:rStyle w:val="SourceText"/>
              </w:rPr>
              <w:t>_transcribe_wav()</w:t>
            </w:r>
            <w:r>
              <w:rPr/>
              <w:t xml:space="preserve"> using faster-whisper; writes transcript text and sidecar TXT.</w:t>
            </w:r>
          </w:p>
        </w:tc>
        <w:tc>
          <w:tcPr>
            <w:tcW w:w="171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Transcript in pane + </w:t>
            </w:r>
            <w:r>
              <w:rPr>
                <w:rStyle w:val="SourceText"/>
              </w:rPr>
              <w:t>.txt</w:t>
            </w:r>
            <w:r>
              <w:rPr/>
              <w:t xml:space="preserve"> file.</w:t>
            </w:r>
          </w:p>
        </w:tc>
      </w:tr>
      <w:tr>
        <w:trPr/>
        <w:tc>
          <w:tcPr>
            <w:tcW w:w="174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Translate Transcript</w:t>
            </w:r>
          </w:p>
        </w:tc>
        <w:tc>
          <w:tcPr>
            <w:tcW w:w="383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on_send_transcript_to_translate()</w:t>
            </w:r>
          </w:p>
        </w:tc>
        <w:tc>
          <w:tcPr>
            <w:tcW w:w="264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Copies transcript pane text into Translate tab source.</w:t>
            </w:r>
          </w:p>
        </w:tc>
        <w:tc>
          <w:tcPr>
            <w:tcW w:w="171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Tab switch with text seed.</w:t>
            </w:r>
          </w:p>
        </w:tc>
      </w:tr>
    </w:tbl>
    <w:p>
      <w:pPr>
        <w:pStyle w:val="Heading3"/>
        <w:bidi w:val="0"/>
        <w:spacing w:before="210" w:after="120"/>
        <w:jc w:val="start"/>
        <w:rPr/>
      </w:pPr>
      <w:r>
        <w:rPr/>
        <w:t>Translate tab</w:t>
      </w:r>
    </w:p>
    <w:tbl>
      <w:tblPr>
        <w:tblW w:w="9935" w:type="dxa"/>
        <w:jc w:val="start"/>
        <w:tblInd w:w="135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05"/>
        <w:gridCol w:w="3102"/>
        <w:gridCol w:w="3314"/>
        <w:gridCol w:w="1814"/>
      </w:tblGrid>
      <w:tr>
        <w:trPr>
          <w:tblHeader w:val="true"/>
        </w:trPr>
        <w:tc>
          <w:tcPr>
            <w:tcW w:w="170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Control</w:t>
            </w:r>
          </w:p>
        </w:tc>
        <w:tc>
          <w:tcPr>
            <w:tcW w:w="310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Handler</w:t>
            </w:r>
          </w:p>
        </w:tc>
        <w:tc>
          <w:tcPr>
            <w:tcW w:w="331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Technical Action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Notes</w:t>
            </w:r>
          </w:p>
        </w:tc>
      </w:tr>
      <w:tr>
        <w:trPr/>
        <w:tc>
          <w:tcPr>
            <w:tcW w:w="170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⇄</w:t>
            </w:r>
          </w:p>
        </w:tc>
        <w:tc>
          <w:tcPr>
            <w:tcW w:w="310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on_swap_languages()</w:t>
            </w:r>
          </w:p>
        </w:tc>
        <w:tc>
          <w:tcPr>
            <w:tcW w:w="331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Swaps source and target languages in UI vars.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No translation call.</w:t>
            </w:r>
          </w:p>
        </w:tc>
      </w:tr>
      <w:tr>
        <w:trPr/>
        <w:tc>
          <w:tcPr>
            <w:tcW w:w="170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Translate</w:t>
            </w:r>
          </w:p>
        </w:tc>
        <w:tc>
          <w:tcPr>
            <w:tcW w:w="310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on_translate()</w:t>
            </w:r>
          </w:p>
        </w:tc>
        <w:tc>
          <w:tcPr>
            <w:tcW w:w="331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Runs offline translation via </w:t>
            </w:r>
            <w:r>
              <w:rPr>
                <w:rStyle w:val="SourceText"/>
              </w:rPr>
              <w:t>citl_translation.translate()</w:t>
            </w:r>
            <w:r>
              <w:rPr/>
              <w:t xml:space="preserve"> thread.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Requires installed pair.</w:t>
            </w:r>
          </w:p>
        </w:tc>
      </w:tr>
      <w:tr>
        <w:trPr/>
        <w:tc>
          <w:tcPr>
            <w:tcW w:w="170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Install Pack</w:t>
            </w:r>
          </w:p>
        </w:tc>
        <w:tc>
          <w:tcPr>
            <w:tcW w:w="310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on_install_lang_pack()</w:t>
            </w:r>
          </w:p>
        </w:tc>
        <w:tc>
          <w:tcPr>
            <w:tcW w:w="331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Calls Argos package index/update/install workflow.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May require internet once for package download.</w:t>
            </w:r>
          </w:p>
        </w:tc>
      </w:tr>
      <w:tr>
        <w:trPr/>
        <w:tc>
          <w:tcPr>
            <w:tcW w:w="170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Clear</w:t>
            </w:r>
          </w:p>
        </w:tc>
        <w:tc>
          <w:tcPr>
            <w:tcW w:w="310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on_clear_translate()</w:t>
            </w:r>
          </w:p>
        </w:tc>
        <w:tc>
          <w:tcPr>
            <w:tcW w:w="331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Clears source/result/vocabulary panes.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UI reset only.</w:t>
            </w:r>
          </w:p>
        </w:tc>
      </w:tr>
      <w:tr>
        <w:trPr/>
        <w:tc>
          <w:tcPr>
            <w:tcW w:w="170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Live translation checkbox</w:t>
            </w:r>
          </w:p>
        </w:tc>
        <w:tc>
          <w:tcPr>
            <w:tcW w:w="310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_on_tr_source_keyrelease()</w:t>
            </w:r>
          </w:p>
        </w:tc>
        <w:tc>
          <w:tcPr>
            <w:tcW w:w="331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Debounced translate call every 800ms while typing.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Optional real-time translation mode.</w:t>
            </w:r>
          </w:p>
        </w:tc>
      </w:tr>
    </w:tbl>
    <w:p>
      <w:pPr>
        <w:pStyle w:val="Heading3"/>
        <w:bidi w:val="0"/>
        <w:spacing w:before="210" w:after="120"/>
        <w:jc w:val="start"/>
        <w:rPr/>
      </w:pPr>
      <w:r>
        <w:rPr/>
        <w:t>Library / Models tab</w:t>
      </w:r>
    </w:p>
    <w:tbl>
      <w:tblPr>
        <w:tblW w:w="10753" w:type="dxa"/>
        <w:jc w:val="start"/>
        <w:tblInd w:w="135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81"/>
        <w:gridCol w:w="4356"/>
        <w:gridCol w:w="2946"/>
        <w:gridCol w:w="1770"/>
      </w:tblGrid>
      <w:tr>
        <w:trPr>
          <w:tblHeader w:val="true"/>
        </w:trPr>
        <w:tc>
          <w:tcPr>
            <w:tcW w:w="168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Control</w:t>
            </w:r>
          </w:p>
        </w:tc>
        <w:tc>
          <w:tcPr>
            <w:tcW w:w="435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Handler</w:t>
            </w:r>
          </w:p>
        </w:tc>
        <w:tc>
          <w:tcPr>
            <w:tcW w:w="294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Technical Action</w:t>
            </w:r>
          </w:p>
        </w:tc>
        <w:tc>
          <w:tcPr>
            <w:tcW w:w="177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Execution Detail</w:t>
            </w:r>
          </w:p>
        </w:tc>
      </w:tr>
      <w:tr>
        <w:trPr/>
        <w:tc>
          <w:tcPr>
            <w:tcW w:w="168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Add Books (txt/docx/pdf)</w:t>
            </w:r>
          </w:p>
        </w:tc>
        <w:tc>
          <w:tcPr>
            <w:tcW w:w="435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on_add_books()</w:t>
            </w:r>
          </w:p>
        </w:tc>
        <w:tc>
          <w:tcPr>
            <w:tcW w:w="294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Copies selected files into </w:t>
            </w:r>
            <w:r>
              <w:rPr>
                <w:rStyle w:val="SourceText"/>
              </w:rPr>
              <w:t>factbook-assistant/library/</w:t>
            </w:r>
            <w:r>
              <w:rPr/>
              <w:t>.</w:t>
            </w:r>
          </w:p>
        </w:tc>
        <w:tc>
          <w:tcPr>
            <w:tcW w:w="177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Does not auto-index; run rebuild next.</w:t>
            </w:r>
          </w:p>
        </w:tc>
      </w:tr>
      <w:tr>
        <w:trPr/>
        <w:tc>
          <w:tcPr>
            <w:tcW w:w="168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Rebuild Factbook Index</w:t>
            </w:r>
          </w:p>
        </w:tc>
        <w:tc>
          <w:tcPr>
            <w:tcW w:w="435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on_rebuild_factbook_index()</w:t>
            </w:r>
          </w:p>
        </w:tc>
        <w:tc>
          <w:tcPr>
            <w:tcW w:w="294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Launches </w:t>
            </w:r>
            <w:r>
              <w:rPr>
                <w:rStyle w:val="SourceText"/>
              </w:rPr>
              <w:t>python build_factbook_index.py</w:t>
            </w:r>
            <w:r>
              <w:rPr/>
              <w:t xml:space="preserve"> in background log runner.</w:t>
            </w:r>
          </w:p>
        </w:tc>
        <w:tc>
          <w:tcPr>
            <w:tcW w:w="177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Writes embeddings/chunks artifacts.</w:t>
            </w:r>
          </w:p>
        </w:tc>
      </w:tr>
      <w:tr>
        <w:trPr/>
        <w:tc>
          <w:tcPr>
            <w:tcW w:w="168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Rebuild Corpus Index</w:t>
            </w:r>
          </w:p>
        </w:tc>
        <w:tc>
          <w:tcPr>
            <w:tcW w:w="435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on_rebuild_corpus_index()</w:t>
            </w:r>
          </w:p>
        </w:tc>
        <w:tc>
          <w:tcPr>
            <w:tcW w:w="294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Launches </w:t>
            </w:r>
            <w:r>
              <w:rPr>
                <w:rStyle w:val="SourceText"/>
              </w:rPr>
              <w:t>python build_corpus_index.py</w:t>
            </w:r>
            <w:r>
              <w:rPr/>
              <w:t>.</w:t>
            </w:r>
          </w:p>
        </w:tc>
        <w:tc>
          <w:tcPr>
            <w:tcW w:w="177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Generic corpus path.</w:t>
            </w:r>
          </w:p>
        </w:tc>
      </w:tr>
      <w:tr>
        <w:trPr/>
        <w:tc>
          <w:tcPr>
            <w:tcW w:w="168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Verify Index Health</w:t>
            </w:r>
          </w:p>
        </w:tc>
        <w:tc>
          <w:tcPr>
            <w:tcW w:w="435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on_verify_index()</w:t>
            </w:r>
          </w:p>
        </w:tc>
        <w:tc>
          <w:tcPr>
            <w:tcW w:w="294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Loads common embedding JSON files and reports detected matrix shape.</w:t>
            </w:r>
          </w:p>
        </w:tc>
        <w:tc>
          <w:tcPr>
            <w:tcW w:w="177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Best-effort health check.</w:t>
            </w:r>
          </w:p>
        </w:tc>
      </w:tr>
      <w:tr>
        <w:trPr/>
        <w:tc>
          <w:tcPr>
            <w:tcW w:w="168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USB App Sync</w:t>
            </w:r>
          </w:p>
        </w:tc>
        <w:tc>
          <w:tcPr>
            <w:tcW w:w="435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on_open_usb_sync()</w:t>
            </w:r>
          </w:p>
        </w:tc>
        <w:tc>
          <w:tcPr>
            <w:tcW w:w="294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Opens CITL app sync utility from this tab context.</w:t>
            </w:r>
          </w:p>
        </w:tc>
        <w:tc>
          <w:tcPr>
            <w:tcW w:w="177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Optional control availability.</w:t>
            </w:r>
          </w:p>
        </w:tc>
      </w:tr>
      <w:tr>
        <w:trPr/>
        <w:tc>
          <w:tcPr>
            <w:tcW w:w="168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Set As Operational</w:t>
            </w:r>
          </w:p>
        </w:tc>
        <w:tc>
          <w:tcPr>
            <w:tcW w:w="435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on_set_operational_from_new_name()</w:t>
            </w:r>
          </w:p>
        </w:tc>
        <w:tc>
          <w:tcPr>
            <w:tcW w:w="294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Promotes new model name to active operational model.</w:t>
            </w:r>
          </w:p>
        </w:tc>
        <w:tc>
          <w:tcPr>
            <w:tcW w:w="177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Persists to config.</w:t>
            </w:r>
          </w:p>
        </w:tc>
      </w:tr>
      <w:tr>
        <w:trPr/>
        <w:tc>
          <w:tcPr>
            <w:tcW w:w="168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Browse</w:t>
            </w:r>
          </w:p>
        </w:tc>
        <w:tc>
          <w:tcPr>
            <w:tcW w:w="435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on_browse_modelfile()</w:t>
            </w:r>
          </w:p>
        </w:tc>
        <w:tc>
          <w:tcPr>
            <w:tcW w:w="294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Selects modelfile path.</w:t>
            </w:r>
          </w:p>
        </w:tc>
        <w:tc>
          <w:tcPr>
            <w:tcW w:w="177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No write until save/create.</w:t>
            </w:r>
          </w:p>
        </w:tc>
      </w:tr>
      <w:tr>
        <w:trPr/>
        <w:tc>
          <w:tcPr>
            <w:tcW w:w="168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Open Folder</w:t>
            </w:r>
          </w:p>
        </w:tc>
        <w:tc>
          <w:tcPr>
            <w:tcW w:w="435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on_open_modelfiles_dir()</w:t>
            </w:r>
          </w:p>
        </w:tc>
        <w:tc>
          <w:tcPr>
            <w:tcW w:w="294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Opens Modelfile directory in file manager.</w:t>
            </w:r>
          </w:p>
        </w:tc>
        <w:tc>
          <w:tcPr>
            <w:tcW w:w="177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Path from config/env fallback.</w:t>
            </w:r>
          </w:p>
        </w:tc>
      </w:tr>
      <w:tr>
        <w:trPr/>
        <w:tc>
          <w:tcPr>
            <w:tcW w:w="168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Write Modelfile</w:t>
            </w:r>
          </w:p>
        </w:tc>
        <w:tc>
          <w:tcPr>
            <w:tcW w:w="435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on_write_modelfile()</w:t>
            </w:r>
          </w:p>
        </w:tc>
        <w:tc>
          <w:tcPr>
            <w:tcW w:w="294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Generates Modelfile with metadata + FROM + SYSTEM prompt.</w:t>
            </w:r>
          </w:p>
        </w:tc>
        <w:tc>
          <w:tcPr>
            <w:tcW w:w="177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Updates config and model selections.</w:t>
            </w:r>
          </w:p>
        </w:tc>
      </w:tr>
      <w:tr>
        <w:trPr/>
        <w:tc>
          <w:tcPr>
            <w:tcW w:w="168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Ollama: List</w:t>
            </w:r>
          </w:p>
        </w:tc>
        <w:tc>
          <w:tcPr>
            <w:tcW w:w="435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on_ollama_list()</w:t>
            </w:r>
          </w:p>
        </w:tc>
        <w:tc>
          <w:tcPr>
            <w:tcW w:w="294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Runs </w:t>
            </w:r>
            <w:r>
              <w:rPr>
                <w:rStyle w:val="SourceText"/>
              </w:rPr>
              <w:t>ollama list</w:t>
            </w:r>
            <w:r>
              <w:rPr/>
              <w:t xml:space="preserve"> and streams output to log pane.</w:t>
            </w:r>
          </w:p>
        </w:tc>
        <w:tc>
          <w:tcPr>
            <w:tcW w:w="177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Requires </w:t>
            </w:r>
            <w:r>
              <w:rPr>
                <w:rStyle w:val="SourceText"/>
              </w:rPr>
              <w:t>ollama</w:t>
            </w:r>
            <w:r>
              <w:rPr/>
              <w:t xml:space="preserve"> in PATH.</w:t>
            </w:r>
          </w:p>
        </w:tc>
      </w:tr>
      <w:tr>
        <w:trPr/>
        <w:tc>
          <w:tcPr>
            <w:tcW w:w="168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Ollama: Pull FROM</w:t>
            </w:r>
          </w:p>
        </w:tc>
        <w:tc>
          <w:tcPr>
            <w:tcW w:w="435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on_ollama_pull_from()</w:t>
            </w:r>
          </w:p>
        </w:tc>
        <w:tc>
          <w:tcPr>
            <w:tcW w:w="294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Runs </w:t>
            </w:r>
            <w:r>
              <w:rPr>
                <w:rStyle w:val="SourceText"/>
              </w:rPr>
              <w:t>ollama pull &lt;base_model&gt;</w:t>
            </w:r>
            <w:r>
              <w:rPr/>
              <w:t>.</w:t>
            </w:r>
          </w:p>
        </w:tc>
        <w:tc>
          <w:tcPr>
            <w:tcW w:w="177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Downloads base model artifact.</w:t>
            </w:r>
          </w:p>
        </w:tc>
      </w:tr>
      <w:tr>
        <w:trPr/>
        <w:tc>
          <w:tcPr>
            <w:tcW w:w="168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Ollama: Create/Update</w:t>
            </w:r>
          </w:p>
        </w:tc>
        <w:tc>
          <w:tcPr>
            <w:tcW w:w="435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on_ollama_create()</w:t>
            </w:r>
          </w:p>
        </w:tc>
        <w:tc>
          <w:tcPr>
            <w:tcW w:w="294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Ensures Modelfile exists, then runs </w:t>
            </w:r>
            <w:r>
              <w:rPr>
                <w:rStyle w:val="SourceText"/>
              </w:rPr>
              <w:t>ollama create &lt;name&gt; -f &lt;modelfile&gt;</w:t>
            </w:r>
            <w:r>
              <w:rPr/>
              <w:t>.</w:t>
            </w:r>
          </w:p>
        </w:tc>
        <w:tc>
          <w:tcPr>
            <w:tcW w:w="177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Verifies model appears in </w:t>
            </w:r>
            <w:r>
              <w:rPr>
                <w:rStyle w:val="SourceText"/>
              </w:rPr>
              <w:t>ollama list</w:t>
            </w:r>
            <w:r>
              <w:rPr/>
              <w:t>.</w:t>
            </w:r>
          </w:p>
        </w:tc>
      </w:tr>
    </w:tbl>
    <w:p>
      <w:pPr>
        <w:pStyle w:val="BodyText"/>
        <w:bidi w:val="0"/>
        <w:spacing w:before="210" w:after="120"/>
        <w:ind w:hanging="0" w:start="135" w:end="135"/>
        <w:jc w:val="start"/>
        <w:rPr/>
      </w:pPr>
      <w:r>
        <w:rPr>
          <w:rStyle w:val="Strong"/>
        </w:rPr>
        <w:t>Coverage note:</w:t>
      </w:r>
      <w:r>
        <w:rPr/>
        <w:t xml:space="preserve"> This section documents controls in the main application window and its four primary tabs. </w:t>
      </w:r>
    </w:p>
    <w:p>
      <w:pPr>
        <w:pStyle w:val="BodyText"/>
        <w:bidi w:val="0"/>
        <w:spacing w:before="210" w:after="120"/>
        <w:jc w:val="start"/>
        <w:rPr/>
      </w:pPr>
      <w:r>
        <w:rPr/>
        <w:t>5) LLM Provenance and Governance</w:t>
      </w:r>
    </w:p>
    <w:p>
      <w:pPr>
        <w:pStyle w:val="Heading3"/>
        <w:bidi w:val="0"/>
        <w:spacing w:before="210" w:after="120"/>
        <w:jc w:val="start"/>
        <w:rPr/>
      </w:pPr>
      <w:r>
        <w:rPr/>
        <w:t>Current local model provenance snapshot (2026-03-11)</w:t>
      </w:r>
    </w:p>
    <w:tbl>
      <w:tblPr>
        <w:tblW w:w="9935" w:type="dxa"/>
        <w:jc w:val="start"/>
        <w:tblInd w:w="135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53"/>
        <w:gridCol w:w="2935"/>
        <w:gridCol w:w="4847"/>
      </w:tblGrid>
      <w:tr>
        <w:trPr>
          <w:tblHeader w:val="true"/>
        </w:trPr>
        <w:tc>
          <w:tcPr>
            <w:tcW w:w="215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Item</w:t>
            </w:r>
          </w:p>
        </w:tc>
        <w:tc>
          <w:tcPr>
            <w:tcW w:w="293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Observed Value</w:t>
            </w:r>
          </w:p>
        </w:tc>
        <w:tc>
          <w:tcPr>
            <w:tcW w:w="484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Evidence Path / Command</w:t>
            </w:r>
          </w:p>
        </w:tc>
      </w:tr>
      <w:tr>
        <w:trPr/>
        <w:tc>
          <w:tcPr>
            <w:tcW w:w="215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Configured operational model</w:t>
            </w:r>
          </w:p>
        </w:tc>
        <w:tc>
          <w:tcPr>
            <w:tcW w:w="293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citl-custom4qw</w:t>
            </w:r>
          </w:p>
        </w:tc>
        <w:tc>
          <w:tcPr>
            <w:tcW w:w="484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data/citl/config_citl-mainframe-All-Series.json</w:t>
            </w:r>
          </w:p>
        </w:tc>
      </w:tr>
      <w:tr>
        <w:trPr/>
        <w:tc>
          <w:tcPr>
            <w:tcW w:w="215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Resolved runtime model</w:t>
            </w:r>
          </w:p>
        </w:tc>
        <w:tc>
          <w:tcPr>
            <w:tcW w:w="293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citl-custom4qw:latest</w:t>
            </w:r>
          </w:p>
        </w:tc>
        <w:tc>
          <w:tcPr>
            <w:tcW w:w="484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ollama list</w:t>
            </w:r>
          </w:p>
        </w:tc>
      </w:tr>
      <w:tr>
        <w:trPr/>
        <w:tc>
          <w:tcPr>
            <w:tcW w:w="215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Base model for custom model</w:t>
            </w:r>
          </w:p>
        </w:tc>
        <w:tc>
          <w:tcPr>
            <w:tcW w:w="293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olmo2:13b</w:t>
            </w:r>
          </w:p>
        </w:tc>
        <w:tc>
          <w:tcPr>
            <w:tcW w:w="484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data/citl/modelfiles/Modelfile.citl-custom4qw</w:t>
            </w:r>
            <w:r>
              <w:rPr/>
              <w:t xml:space="preserve"> (FROM line)</w:t>
            </w:r>
          </w:p>
        </w:tc>
      </w:tr>
      <w:tr>
        <w:trPr/>
        <w:tc>
          <w:tcPr>
            <w:tcW w:w="215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Base model architecture</w:t>
            </w:r>
          </w:p>
        </w:tc>
        <w:tc>
          <w:tcPr>
            <w:tcW w:w="293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olmo2</w:t>
            </w:r>
            <w:r>
              <w:rPr/>
              <w:t>, 13.7B params, Q4_K_M</w:t>
            </w:r>
          </w:p>
        </w:tc>
        <w:tc>
          <w:tcPr>
            <w:tcW w:w="484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ollama show olmo2:13b</w:t>
            </w:r>
          </w:p>
        </w:tc>
      </w:tr>
      <w:tr>
        <w:trPr/>
        <w:tc>
          <w:tcPr>
            <w:tcW w:w="215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Base model system provenance text</w:t>
            </w:r>
          </w:p>
        </w:tc>
        <w:tc>
          <w:tcPr>
            <w:tcW w:w="293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"...built by the Allen Institute for AI"</w:t>
            </w:r>
          </w:p>
        </w:tc>
        <w:tc>
          <w:tcPr>
            <w:tcW w:w="484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ollama show olmo2:13b</w:t>
            </w:r>
          </w:p>
        </w:tc>
      </w:tr>
      <w:tr>
        <w:trPr/>
        <w:tc>
          <w:tcPr>
            <w:tcW w:w="215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Custom model system prompt</w:t>
            </w:r>
          </w:p>
        </w:tc>
        <w:tc>
          <w:tcPr>
            <w:tcW w:w="293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CITL academic support + fact-checking rules</w:t>
            </w:r>
          </w:p>
        </w:tc>
        <w:tc>
          <w:tcPr>
            <w:tcW w:w="484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ollama show --modelfile citl-custom4qw:latest</w:t>
            </w:r>
          </w:p>
        </w:tc>
      </w:tr>
      <w:tr>
        <w:trPr/>
        <w:tc>
          <w:tcPr>
            <w:tcW w:w="215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Embedding model</w:t>
            </w:r>
          </w:p>
        </w:tc>
        <w:tc>
          <w:tcPr>
            <w:tcW w:w="293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nomic-embed-text:latest</w:t>
            </w:r>
          </w:p>
        </w:tc>
        <w:tc>
          <w:tcPr>
            <w:tcW w:w="484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ollama list</w:t>
            </w:r>
            <w:r>
              <w:rPr/>
              <w:t xml:space="preserve"> + retrieval defaults</w:t>
            </w:r>
          </w:p>
        </w:tc>
      </w:tr>
    </w:tbl>
    <w:p>
      <w:pPr>
        <w:pStyle w:val="Heading3"/>
        <w:bidi w:val="0"/>
        <w:spacing w:before="210" w:after="120"/>
        <w:jc w:val="start"/>
        <w:rPr/>
      </w:pPr>
      <w:r>
        <w:rPr/>
        <w:t>Governance procedure for model changes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29" w:leader="none"/>
        </w:tabs>
        <w:bidi w:val="0"/>
        <w:spacing w:before="210" w:after="120"/>
        <w:ind w:hanging="283" w:start="829"/>
        <w:jc w:val="start"/>
        <w:rPr/>
      </w:pPr>
      <w:r>
        <w:rPr/>
        <w:t>Update or write Modelfile via GUI (</w:t>
      </w:r>
      <w:r>
        <w:rPr>
          <w:rStyle w:val="Strong"/>
        </w:rPr>
        <w:t>Write Modelfile</w:t>
      </w:r>
      <w:r>
        <w:rPr/>
        <w:t xml:space="preserve">).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29" w:leader="none"/>
        </w:tabs>
        <w:bidi w:val="0"/>
        <w:spacing w:before="210" w:after="120"/>
        <w:ind w:hanging="283" w:start="829"/>
        <w:jc w:val="start"/>
        <w:rPr/>
      </w:pPr>
      <w:r>
        <w:rPr/>
        <w:t xml:space="preserve">Create model artifact via </w:t>
      </w:r>
      <w:r>
        <w:rPr>
          <w:rStyle w:val="Strong"/>
        </w:rPr>
        <w:t>Ollama: Create/Update</w:t>
      </w:r>
      <w:r>
        <w:rPr/>
        <w:t xml:space="preserve">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29" w:leader="none"/>
        </w:tabs>
        <w:bidi w:val="0"/>
        <w:spacing w:before="210" w:after="120"/>
        <w:ind w:hanging="283" w:start="829"/>
        <w:jc w:val="start"/>
        <w:rPr/>
      </w:pPr>
      <w:r>
        <w:rPr/>
        <w:t xml:space="preserve">Record model hash and metadata from </w:t>
      </w:r>
      <w:r>
        <w:rPr>
          <w:rStyle w:val="SourceText"/>
        </w:rPr>
        <w:t>ollama list</w:t>
      </w:r>
      <w:r>
        <w:rPr/>
        <w:t xml:space="preserve"> and </w:t>
      </w:r>
      <w:r>
        <w:rPr>
          <w:rStyle w:val="SourceText"/>
        </w:rPr>
        <w:t>ollama show</w:t>
      </w:r>
      <w:r>
        <w:rPr/>
        <w:t xml:space="preserve">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29" w:leader="none"/>
        </w:tabs>
        <w:bidi w:val="0"/>
        <w:spacing w:before="210" w:after="120"/>
        <w:ind w:hanging="283" w:start="829"/>
        <w:jc w:val="start"/>
        <w:rPr/>
      </w:pPr>
      <w:r>
        <w:rPr/>
        <w:t xml:space="preserve">Persist operational model selection in config profile.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29" w:leader="none"/>
        </w:tabs>
        <w:bidi w:val="0"/>
        <w:spacing w:before="210" w:after="120"/>
        <w:ind w:hanging="283" w:start="829"/>
        <w:jc w:val="start"/>
        <w:rPr/>
      </w:pPr>
      <w:r>
        <w:rPr/>
        <w:t xml:space="preserve">Run reliability smoke tests before classroom deployment. </w:t>
      </w:r>
    </w:p>
    <w:p>
      <w:pPr>
        <w:pStyle w:val="BodyText"/>
        <w:bidi w:val="0"/>
        <w:spacing w:before="210" w:after="120"/>
        <w:jc w:val="start"/>
        <w:rPr/>
      </w:pPr>
      <w:r>
        <w:rPr>
          <w:rStyle w:val="Strong"/>
        </w:rPr>
        <w:t>Why AllenAI model bases here:</w:t>
      </w:r>
      <w:r>
        <w:rPr/>
        <w:t xml:space="preserve"> transparent lineage, local deployment support, open licensing posture (Apache 2.0 in observed local model metadata), and fit for education/NGO governance requirements. </w:t>
      </w:r>
    </w:p>
    <w:p>
      <w:pPr>
        <w:pStyle w:val="BodyText"/>
        <w:bidi w:val="0"/>
        <w:spacing w:before="210" w:after="120"/>
        <w:jc w:val="start"/>
        <w:rPr/>
      </w:pPr>
      <w:r>
        <w:rPr/>
        <w:t>6) Privacy, SaaS Risk, and Institutional Controls</w:t>
      </w:r>
    </w:p>
    <w:p>
      <w:pPr>
        <w:pStyle w:val="Heading3"/>
        <w:bidi w:val="0"/>
        <w:spacing w:before="210" w:after="120"/>
        <w:jc w:val="start"/>
        <w:rPr/>
      </w:pPr>
      <w:r>
        <w:rPr/>
        <w:t>How this architecture addresses SaaS privacy concerns</w:t>
      </w:r>
    </w:p>
    <w:tbl>
      <w:tblPr>
        <w:tblW w:w="9935" w:type="dxa"/>
        <w:jc w:val="start"/>
        <w:tblInd w:w="135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04"/>
        <w:gridCol w:w="3589"/>
        <w:gridCol w:w="4242"/>
      </w:tblGrid>
      <w:tr>
        <w:trPr>
          <w:tblHeader w:val="true"/>
        </w:trPr>
        <w:tc>
          <w:tcPr>
            <w:tcW w:w="210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Risk Area</w:t>
            </w:r>
          </w:p>
        </w:tc>
        <w:tc>
          <w:tcPr>
            <w:tcW w:w="358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Typical SaaS LLM Risk</w:t>
            </w:r>
          </w:p>
        </w:tc>
        <w:tc>
          <w:tcPr>
            <w:tcW w:w="424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CITL Local Mitigation</w:t>
            </w:r>
          </w:p>
        </w:tc>
      </w:tr>
      <w:tr>
        <w:trPr/>
        <w:tc>
          <w:tcPr>
            <w:tcW w:w="210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Student text/audio exposure</w:t>
            </w:r>
          </w:p>
        </w:tc>
        <w:tc>
          <w:tcPr>
            <w:tcW w:w="35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Data sent to external vendor endpoints.</w:t>
            </w:r>
          </w:p>
        </w:tc>
        <w:tc>
          <w:tcPr>
            <w:tcW w:w="424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Inference/transcription/translation run locally by default; no mandatory cloud API in primary workflow.</w:t>
            </w:r>
          </w:p>
        </w:tc>
      </w:tr>
      <w:tr>
        <w:trPr/>
        <w:tc>
          <w:tcPr>
            <w:tcW w:w="210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Vendor model training reuse</w:t>
            </w:r>
          </w:p>
        </w:tc>
        <w:tc>
          <w:tcPr>
            <w:tcW w:w="35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Potential use of prompts/logs for provider model improvement (policy-dependent).</w:t>
            </w:r>
          </w:p>
        </w:tc>
        <w:tc>
          <w:tcPr>
            <w:tcW w:w="424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Local-hosted models avoid automatic third-party training pipelines.</w:t>
            </w:r>
          </w:p>
        </w:tc>
      </w:tr>
      <w:tr>
        <w:trPr/>
        <w:tc>
          <w:tcPr>
            <w:tcW w:w="210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Data brokerage / repurposing</w:t>
            </w:r>
          </w:p>
        </w:tc>
        <w:tc>
          <w:tcPr>
            <w:tcW w:w="35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Unclear downstream sharing controls across vendor ecosystem.</w:t>
            </w:r>
          </w:p>
        </w:tc>
        <w:tc>
          <w:tcPr>
            <w:tcW w:w="424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Institution controls storage and transport boundaries; no inherent broker feed in local stack.</w:t>
            </w:r>
          </w:p>
        </w:tc>
      </w:tr>
      <w:tr>
        <w:trPr/>
        <w:tc>
          <w:tcPr>
            <w:tcW w:w="210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Cross-border data transfer</w:t>
            </w:r>
          </w:p>
        </w:tc>
        <w:tc>
          <w:tcPr>
            <w:tcW w:w="35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Opaque data residency and subprocessors.</w:t>
            </w:r>
          </w:p>
        </w:tc>
        <w:tc>
          <w:tcPr>
            <w:tcW w:w="424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Local deployment supports institution-controlled residency strategy.</w:t>
            </w:r>
          </w:p>
        </w:tc>
      </w:tr>
      <w:tr>
        <w:trPr/>
        <w:tc>
          <w:tcPr>
            <w:tcW w:w="210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Auditing and evidence</w:t>
            </w:r>
          </w:p>
        </w:tc>
        <w:tc>
          <w:tcPr>
            <w:tcW w:w="35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Limited vendor transparency into model lineage and runtime details.</w:t>
            </w:r>
          </w:p>
        </w:tc>
        <w:tc>
          <w:tcPr>
            <w:tcW w:w="424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Modelfile + local config + local model metadata are inspectable and reproducible.</w:t>
            </w:r>
          </w:p>
        </w:tc>
      </w:tr>
    </w:tbl>
    <w:p>
      <w:pPr>
        <w:pStyle w:val="Heading3"/>
        <w:bidi w:val="0"/>
        <w:spacing w:before="210" w:after="120"/>
        <w:jc w:val="start"/>
        <w:rPr/>
      </w:pPr>
      <w:r>
        <w:rPr/>
        <w:t>Institutional privacy ordinance alignment (technical posture)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spacing w:before="210" w:after="120"/>
        <w:ind w:hanging="283" w:start="829"/>
        <w:jc w:val="start"/>
        <w:rPr/>
      </w:pPr>
      <w:r>
        <w:rPr/>
        <w:t xml:space="preserve">Supports data minimization by keeping instructional processing local when configured accordingly.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spacing w:before="210" w:after="120"/>
        <w:ind w:hanging="283" w:start="829"/>
        <w:jc w:val="start"/>
        <w:rPr/>
      </w:pPr>
      <w:r>
        <w:rPr/>
        <w:t xml:space="preserve">Supports least-privilege operations through local account and filesystem controls.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spacing w:before="210" w:after="120"/>
        <w:ind w:hanging="283" w:start="829"/>
        <w:jc w:val="start"/>
        <w:rPr/>
      </w:pPr>
      <w:r>
        <w:rPr/>
        <w:t xml:space="preserve">Supports auditability through config files, model manifests, and local logs.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spacing w:before="210" w:after="120"/>
        <w:ind w:hanging="283" w:start="829"/>
        <w:jc w:val="start"/>
        <w:rPr/>
      </w:pPr>
      <w:r>
        <w:rPr/>
        <w:t xml:space="preserve">Supports policy-driven retention by controlling local transcript/index storage directories. </w:t>
      </w:r>
    </w:p>
    <w:p>
      <w:pPr>
        <w:pStyle w:val="BodyText"/>
        <w:bidi w:val="0"/>
        <w:spacing w:before="210" w:after="120"/>
        <w:jc w:val="start"/>
        <w:rPr/>
      </w:pPr>
      <w:r>
        <w:rPr>
          <w:rStyle w:val="Strong"/>
        </w:rPr>
        <w:t>Compliance boundary:</w:t>
      </w:r>
      <w:r>
        <w:rPr/>
        <w:t xml:space="preserve"> this software can support compliance objectives (for example FERPA-style student record controls), but institutional policy, legal review, IAM controls, and endpoint security are still required. </w:t>
      </w:r>
    </w:p>
    <w:p>
      <w:pPr>
        <w:pStyle w:val="Heading3"/>
        <w:bidi w:val="0"/>
        <w:spacing w:before="210" w:after="120"/>
        <w:jc w:val="start"/>
        <w:rPr/>
      </w:pPr>
      <w:r>
        <w:rPr/>
        <w:t>Data handling boundaries to enforce operationally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829" w:leader="none"/>
        </w:tabs>
        <w:bidi w:val="0"/>
        <w:spacing w:before="210" w:after="120"/>
        <w:ind w:hanging="283" w:start="829"/>
        <w:jc w:val="start"/>
        <w:rPr/>
      </w:pPr>
      <w:r>
        <w:rPr/>
        <w:t xml:space="preserve">Do not enable outbound LLM APIs in classroom profiles unless approved by policy.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829" w:leader="none"/>
        </w:tabs>
        <w:bidi w:val="0"/>
        <w:spacing w:before="210" w:after="120"/>
        <w:ind w:hanging="283" w:start="829"/>
        <w:jc w:val="start"/>
        <w:rPr/>
      </w:pPr>
      <w:r>
        <w:rPr/>
        <w:t xml:space="preserve">Pin Ollama host to institution-managed local endpoint.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829" w:leader="none"/>
        </w:tabs>
        <w:bidi w:val="0"/>
        <w:spacing w:before="210" w:after="120"/>
        <w:ind w:hanging="283" w:start="829"/>
        <w:jc w:val="start"/>
        <w:rPr/>
      </w:pPr>
      <w:r>
        <w:rPr/>
        <w:t xml:space="preserve">Limit corpus ingestion paths to approved instructional materials.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829" w:leader="none"/>
        </w:tabs>
        <w:bidi w:val="0"/>
        <w:spacing w:before="210" w:after="120"/>
        <w:ind w:hanging="283" w:start="829"/>
        <w:jc w:val="start"/>
        <w:rPr/>
      </w:pPr>
      <w:r>
        <w:rPr/>
        <w:t xml:space="preserve">Apply retention schedules to </w:t>
      </w:r>
      <w:r>
        <w:rPr>
          <w:rStyle w:val="SourceText"/>
        </w:rPr>
        <w:t>data/citl/recordings</w:t>
      </w:r>
      <w:r>
        <w:rPr/>
        <w:t xml:space="preserve"> and transcript outputs.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829" w:leader="none"/>
        </w:tabs>
        <w:bidi w:val="0"/>
        <w:spacing w:before="210" w:after="120"/>
        <w:ind w:hanging="283" w:start="829"/>
        <w:jc w:val="start"/>
        <w:rPr/>
      </w:pPr>
      <w:r>
        <w:rPr/>
        <w:t xml:space="preserve">Restrict access to config and index artifacts to authorized staff. </w:t>
      </w:r>
    </w:p>
    <w:p>
      <w:pPr>
        <w:pStyle w:val="BodyText"/>
        <w:bidi w:val="0"/>
        <w:spacing w:before="210" w:after="120"/>
        <w:jc w:val="start"/>
        <w:rPr/>
      </w:pPr>
      <w:r>
        <w:rPr/>
        <w:t>7) Engineer Runbook and Verification Steps</w:t>
      </w:r>
    </w:p>
    <w:p>
      <w:pPr>
        <w:pStyle w:val="Heading3"/>
        <w:bidi w:val="0"/>
        <w:spacing w:before="210" w:after="120"/>
        <w:jc w:val="start"/>
        <w:rPr/>
      </w:pPr>
      <w:r>
        <w:rPr/>
        <w:t>Startup validation checklist</w:t>
      </w:r>
    </w:p>
    <w:p>
      <w:pPr>
        <w:pStyle w:val="PreformattedText"/>
        <w:bidi w:val="0"/>
        <w:spacing w:before="210" w:after="120"/>
        <w:jc w:val="start"/>
        <w:rPr/>
      </w:pPr>
      <w:r>
        <w:rPr/>
        <w:t>1. Start Ollama service</w:t>
      </w:r>
    </w:p>
    <w:p>
      <w:pPr>
        <w:pStyle w:val="PreformattedText"/>
        <w:bidi w:val="0"/>
        <w:spacing w:before="210" w:after="120"/>
        <w:jc w:val="start"/>
        <w:rPr/>
      </w:pPr>
      <w:r>
        <w:rPr/>
        <w:t>2. Verify models:</w:t>
      </w:r>
    </w:p>
    <w:p>
      <w:pPr>
        <w:pStyle w:val="PreformattedText"/>
        <w:bidi w:val="0"/>
        <w:spacing w:before="210" w:after="120"/>
        <w:jc w:val="start"/>
        <w:rPr/>
      </w:pPr>
      <w:r>
        <w:rPr/>
        <w:t xml:space="preserve">   </w:t>
      </w:r>
      <w:r>
        <w:rPr/>
        <w:t>ollama list</w:t>
      </w:r>
    </w:p>
    <w:p>
      <w:pPr>
        <w:pStyle w:val="PreformattedText"/>
        <w:bidi w:val="0"/>
        <w:spacing w:before="210" w:after="120"/>
        <w:jc w:val="start"/>
        <w:rPr/>
      </w:pPr>
      <w:r>
        <w:rPr/>
        <w:t>3. Verify active profile:</w:t>
      </w:r>
    </w:p>
    <w:p>
      <w:pPr>
        <w:pStyle w:val="PreformattedText"/>
        <w:bidi w:val="0"/>
        <w:spacing w:before="210" w:after="120"/>
        <w:jc w:val="start"/>
        <w:rPr/>
      </w:pPr>
      <w:r>
        <w:rPr/>
        <w:t xml:space="preserve">   </w:t>
      </w:r>
      <w:r>
        <w:rPr/>
        <w:t>cat data/citl/config_citl-mainframe-All-Series.json</w:t>
      </w:r>
    </w:p>
    <w:p>
      <w:pPr>
        <w:pStyle w:val="PreformattedText"/>
        <w:bidi w:val="0"/>
        <w:spacing w:before="210" w:after="120"/>
        <w:jc w:val="start"/>
        <w:rPr/>
      </w:pPr>
      <w:r>
        <w:rPr/>
        <w:t>4. Open app and confirm model/host in Factbook tab</w:t>
      </w:r>
    </w:p>
    <w:p>
      <w:pPr>
        <w:pStyle w:val="PreformattedText"/>
        <w:bidi w:val="0"/>
        <w:spacing w:before="210" w:after="120"/>
        <w:jc w:val="start"/>
        <w:rPr/>
      </w:pPr>
      <w:r>
        <w:rPr/>
        <w:t>5. Run smoke query and verify citations + country/entity lock behavior</w:t>
      </w:r>
    </w:p>
    <w:p>
      <w:pPr>
        <w:pStyle w:val="PreformattedText"/>
        <w:bidi w:val="0"/>
        <w:spacing w:before="210" w:after="120"/>
        <w:jc w:val="start"/>
        <w:rPr/>
      </w:pPr>
      <w:r>
        <w:rPr/>
        <w:t>6. Run transcript test (30-60 sec audio)</w:t>
      </w:r>
    </w:p>
    <w:p>
      <w:pPr>
        <w:pStyle w:val="PreformattedText"/>
        <w:bidi w:val="0"/>
        <w:spacing w:before="210" w:after="120"/>
        <w:jc w:val="start"/>
        <w:rPr/>
      </w:pPr>
      <w:r>
        <w:rPr/>
        <w:t>7. Run translation test with installed language pair</w:t>
      </w:r>
    </w:p>
    <w:p>
      <w:pPr>
        <w:pStyle w:val="Heading3"/>
        <w:bidi w:val="0"/>
        <w:spacing w:before="210" w:after="120"/>
        <w:jc w:val="start"/>
        <w:rPr/>
      </w:pPr>
      <w:r>
        <w:rPr/>
        <w:t>Model provenance verification commands</w:t>
      </w:r>
    </w:p>
    <w:p>
      <w:pPr>
        <w:pStyle w:val="PreformattedText"/>
        <w:bidi w:val="0"/>
        <w:spacing w:before="210" w:after="120"/>
        <w:jc w:val="start"/>
        <w:rPr/>
      </w:pPr>
      <w:r>
        <w:rPr/>
        <w:t>ollama list</w:t>
      </w:r>
    </w:p>
    <w:p>
      <w:pPr>
        <w:pStyle w:val="PreformattedText"/>
        <w:bidi w:val="0"/>
        <w:spacing w:before="210" w:after="120"/>
        <w:jc w:val="start"/>
        <w:rPr/>
      </w:pPr>
      <w:r>
        <w:rPr/>
        <w:t>ollama show olmo2:13b</w:t>
      </w:r>
    </w:p>
    <w:p>
      <w:pPr>
        <w:pStyle w:val="PreformattedText"/>
        <w:bidi w:val="0"/>
        <w:spacing w:before="210" w:after="120"/>
        <w:jc w:val="start"/>
        <w:rPr/>
      </w:pPr>
      <w:r>
        <w:rPr/>
        <w:t>ollama show citl-custom4qw:latest</w:t>
      </w:r>
    </w:p>
    <w:p>
      <w:pPr>
        <w:pStyle w:val="PreformattedText"/>
        <w:bidi w:val="0"/>
        <w:spacing w:before="210" w:after="120"/>
        <w:jc w:val="start"/>
        <w:rPr/>
      </w:pPr>
      <w:r>
        <w:rPr/>
        <w:t>ollama show --modelfile citl-custom4qw:latest</w:t>
      </w:r>
    </w:p>
    <w:p>
      <w:pPr>
        <w:pStyle w:val="Heading3"/>
        <w:bidi w:val="0"/>
        <w:spacing w:before="210" w:after="120"/>
        <w:jc w:val="start"/>
        <w:rPr/>
      </w:pPr>
      <w:r>
        <w:rPr/>
        <w:t>Regression checks before deployment</w:t>
      </w:r>
    </w:p>
    <w:p>
      <w:pPr>
        <w:pStyle w:val="PreformattedText"/>
        <w:bidi w:val="0"/>
        <w:spacing w:before="210" w:after="120"/>
        <w:jc w:val="start"/>
        <w:rPr/>
      </w:pPr>
      <w:r>
        <w:rPr/>
        <w:t>python -m unittest factbook-assistant/tests/test_factbook_reliable_qa.py</w:t>
      </w:r>
    </w:p>
    <w:p>
      <w:pPr>
        <w:pStyle w:val="PreformattedText"/>
        <w:bidi w:val="0"/>
        <w:spacing w:before="210" w:after="120"/>
        <w:jc w:val="start"/>
        <w:rPr/>
      </w:pPr>
      <w:r>
        <w:rPr/>
        <w:t>python -m unittest factbook-assistant/tests/test_reference_pipeline_generic.py</w:t>
      </w:r>
    </w:p>
    <w:p>
      <w:pPr>
        <w:pStyle w:val="BodyText"/>
        <w:bidi w:val="0"/>
        <w:spacing w:before="210" w:after="120"/>
        <w:jc w:val="start"/>
        <w:rPr/>
      </w:pPr>
      <w:r>
        <w:rPr>
          <w:rStyle w:val="Strong"/>
        </w:rPr>
        <w:t>Release gate:</w:t>
      </w:r>
      <w:r>
        <w:rPr/>
        <w:t xml:space="preserve"> if entity-locking regressions are observed (for example wrong country/entity response), block classroom release until fixed and re-tested. </w:t>
      </w:r>
    </w:p>
    <w:p>
      <w:pPr>
        <w:pStyle w:val="BodyText"/>
        <w:bidi w:val="0"/>
        <w:spacing w:before="210" w:after="120"/>
        <w:jc w:val="start"/>
        <w:rPr/>
      </w:pPr>
      <w:r>
        <w:rPr/>
        <w:t>8) Engineer Q&amp;A (Tough Questions Playbook)</w:t>
      </w:r>
    </w:p>
    <w:p>
      <w:pPr>
        <w:pStyle w:val="BodyText"/>
        <w:bidi w:val="0"/>
        <w:spacing w:before="135" w:after="135"/>
        <w:ind w:hanging="0" w:start="135" w:end="135"/>
        <w:jc w:val="start"/>
        <w:rPr>
          <w:bdr w:val="single" w:sz="2" w:space="1" w:color="000000"/>
        </w:rPr>
      </w:pPr>
      <w:r>
        <w:rPr>
          <w:bdr w:val="single" w:sz="2" w:space="1" w:color="000000"/>
        </w:rPr>
        <w:t>Q1. Is this just another chatbot wrapper?</w:t>
      </w:r>
    </w:p>
    <w:p>
      <w:pPr>
        <w:pStyle w:val="BodyText"/>
        <w:bidi w:val="0"/>
        <w:spacing w:before="135" w:after="135"/>
        <w:ind w:start="135" w:end="135"/>
        <w:jc w:val="start"/>
        <w:rPr>
          <w:bdr w:val="single" w:sz="2" w:space="1" w:color="000000"/>
        </w:rPr>
      </w:pPr>
      <w:r>
        <w:rPr>
          <w:bdr w:val="single" w:sz="2" w:space="1" w:color="000000"/>
        </w:rPr>
        <w:t>No. It is a composite local system: deterministic reference query logic, local retrieval/indexing, local model lifecycle management, local transcription, and offline translation. The chatbot surface is only one component.</w:t>
      </w:r>
    </w:p>
    <w:p>
      <w:pPr>
        <w:pStyle w:val="BodyText"/>
        <w:bidi w:val="0"/>
        <w:spacing w:before="135" w:after="135"/>
        <w:ind w:hanging="0" w:start="135" w:end="135"/>
        <w:jc w:val="start"/>
        <w:rPr>
          <w:bdr w:val="single" w:sz="2" w:space="1" w:color="000000"/>
        </w:rPr>
      </w:pPr>
      <w:r>
        <w:rPr>
          <w:bdr w:val="single" w:sz="2" w:space="1" w:color="000000"/>
        </w:rPr>
        <w:t>Q2. How do we prove model provenance?</w:t>
      </w:r>
    </w:p>
    <w:p>
      <w:pPr>
        <w:pStyle w:val="BodyText"/>
        <w:bidi w:val="0"/>
        <w:spacing w:before="135" w:after="135"/>
        <w:ind w:start="135" w:end="135"/>
        <w:jc w:val="start"/>
        <w:rPr/>
      </w:pPr>
      <w:r>
        <w:rPr>
          <w:bdr w:val="single" w:sz="2" w:space="1" w:color="000000"/>
        </w:rPr>
        <w:t>Use local evidence chain: config profile (</w:t>
      </w:r>
      <w:r>
        <w:rPr>
          <w:rStyle w:val="SourceText"/>
          <w:bdr w:val="single" w:sz="2" w:space="1" w:color="000000"/>
        </w:rPr>
        <w:t>ollama_model</w:t>
      </w:r>
      <w:r>
        <w:rPr>
          <w:bdr w:val="single" w:sz="2" w:space="1" w:color="000000"/>
        </w:rPr>
        <w:t xml:space="preserve">), Modelfile FROM line, </w:t>
      </w:r>
      <w:r>
        <w:rPr>
          <w:rStyle w:val="SourceText"/>
          <w:bdr w:val="single" w:sz="2" w:space="1" w:color="000000"/>
        </w:rPr>
        <w:t>ollama list</w:t>
      </w:r>
      <w:r>
        <w:rPr>
          <w:bdr w:val="single" w:sz="2" w:space="1" w:color="000000"/>
        </w:rPr>
        <w:t xml:space="preserve"> model IDs, and </w:t>
      </w:r>
      <w:r>
        <w:rPr>
          <w:rStyle w:val="SourceText"/>
          <w:bdr w:val="single" w:sz="2" w:space="1" w:color="000000"/>
        </w:rPr>
        <w:t>ollama show</w:t>
      </w:r>
      <w:r>
        <w:rPr>
          <w:bdr w:val="single" w:sz="2" w:space="1" w:color="000000"/>
        </w:rPr>
        <w:t xml:space="preserve"> metadata. This establishes model identity, lineage, and local runtime artifact.</w:t>
      </w:r>
    </w:p>
    <w:p>
      <w:pPr>
        <w:pStyle w:val="BodyText"/>
        <w:bidi w:val="0"/>
        <w:spacing w:before="135" w:after="135"/>
        <w:ind w:hanging="0" w:start="135" w:end="135"/>
        <w:jc w:val="start"/>
        <w:rPr>
          <w:bdr w:val="single" w:sz="2" w:space="1" w:color="000000"/>
        </w:rPr>
      </w:pPr>
      <w:r>
        <w:rPr>
          <w:bdr w:val="single" w:sz="2" w:space="1" w:color="000000"/>
        </w:rPr>
        <w:t>Q3. Why AllenAI/OLMo family instead of closed SaaS models?</w:t>
      </w:r>
    </w:p>
    <w:p>
      <w:pPr>
        <w:pStyle w:val="BodyText"/>
        <w:bidi w:val="0"/>
        <w:spacing w:before="135" w:after="135"/>
        <w:ind w:start="135" w:end="135"/>
        <w:jc w:val="start"/>
        <w:rPr>
          <w:bdr w:val="single" w:sz="2" w:space="1" w:color="000000"/>
        </w:rPr>
      </w:pPr>
      <w:r>
        <w:rPr>
          <w:bdr w:val="single" w:sz="2" w:space="1" w:color="000000"/>
        </w:rPr>
        <w:t>Primary reasons are governance and controllability: inspectable model lineage, local hosting, reproducible deployment, and reduced third-party exposure of classroom artifacts.</w:t>
      </w:r>
    </w:p>
    <w:p>
      <w:pPr>
        <w:pStyle w:val="BodyText"/>
        <w:bidi w:val="0"/>
        <w:spacing w:before="135" w:after="135"/>
        <w:ind w:hanging="0" w:start="135" w:end="135"/>
        <w:jc w:val="start"/>
        <w:rPr>
          <w:bdr w:val="single" w:sz="2" w:space="1" w:color="000000"/>
        </w:rPr>
      </w:pPr>
      <w:r>
        <w:rPr>
          <w:bdr w:val="single" w:sz="2" w:space="1" w:color="000000"/>
        </w:rPr>
        <w:t>Q4. Does the app send student data to the cloud?</w:t>
      </w:r>
    </w:p>
    <w:p>
      <w:pPr>
        <w:pStyle w:val="BodyText"/>
        <w:bidi w:val="0"/>
        <w:spacing w:before="135" w:after="135"/>
        <w:ind w:start="135" w:end="135"/>
        <w:jc w:val="start"/>
        <w:rPr>
          <w:bdr w:val="single" w:sz="2" w:space="1" w:color="000000"/>
        </w:rPr>
      </w:pPr>
      <w:r>
        <w:rPr>
          <w:bdr w:val="single" w:sz="2" w:space="1" w:color="000000"/>
        </w:rPr>
        <w:t>In default local deployment, primary inference and processing paths are local. Administrators must still verify network policy, host configuration, and package-install phases (for example one-time language pack downloads).</w:t>
      </w:r>
    </w:p>
    <w:p>
      <w:pPr>
        <w:pStyle w:val="BodyText"/>
        <w:bidi w:val="0"/>
        <w:spacing w:before="135" w:after="135"/>
        <w:ind w:hanging="0" w:start="135" w:end="135"/>
        <w:jc w:val="start"/>
        <w:rPr>
          <w:bdr w:val="single" w:sz="2" w:space="1" w:color="000000"/>
        </w:rPr>
      </w:pPr>
      <w:r>
        <w:rPr>
          <w:bdr w:val="single" w:sz="2" w:space="1" w:color="000000"/>
        </w:rPr>
        <w:t>Q5. Can vendor-side training on our prompts happen here?</w:t>
      </w:r>
    </w:p>
    <w:p>
      <w:pPr>
        <w:pStyle w:val="BodyText"/>
        <w:bidi w:val="0"/>
        <w:spacing w:before="135" w:after="135"/>
        <w:ind w:start="135" w:end="135"/>
        <w:jc w:val="start"/>
        <w:rPr>
          <w:bdr w:val="single" w:sz="2" w:space="1" w:color="000000"/>
        </w:rPr>
      </w:pPr>
      <w:r>
        <w:rPr>
          <w:bdr w:val="single" w:sz="2" w:space="1" w:color="000000"/>
        </w:rPr>
        <w:t>For local-only model execution, there is no default external provider training loop. If external APIs are introduced later, this assumption changes and requires policy review.</w:t>
      </w:r>
    </w:p>
    <w:p>
      <w:pPr>
        <w:pStyle w:val="BodyText"/>
        <w:bidi w:val="0"/>
        <w:spacing w:before="135" w:after="135"/>
        <w:ind w:hanging="0" w:start="135" w:end="135"/>
        <w:jc w:val="start"/>
        <w:rPr>
          <w:bdr w:val="single" w:sz="2" w:space="1" w:color="000000"/>
        </w:rPr>
      </w:pPr>
      <w:r>
        <w:rPr>
          <w:bdr w:val="single" w:sz="2" w:space="1" w:color="000000"/>
        </w:rPr>
        <w:t>Q6. How does this reduce data brokerage risk?</w:t>
      </w:r>
    </w:p>
    <w:p>
      <w:pPr>
        <w:pStyle w:val="BodyText"/>
        <w:bidi w:val="0"/>
        <w:spacing w:before="135" w:after="135"/>
        <w:ind w:start="135" w:end="135"/>
        <w:jc w:val="start"/>
        <w:rPr>
          <w:bdr w:val="single" w:sz="2" w:space="1" w:color="000000"/>
        </w:rPr>
      </w:pPr>
      <w:r>
        <w:rPr>
          <w:bdr w:val="single" w:sz="2" w:space="1" w:color="000000"/>
        </w:rPr>
        <w:t>By avoiding default transmission of classroom data to ad-tech or multi-tenant SaaS ecosystems, institutional data remains in governed local infrastructure unless explicitly exported.</w:t>
      </w:r>
    </w:p>
    <w:p>
      <w:pPr>
        <w:pStyle w:val="BodyText"/>
        <w:bidi w:val="0"/>
        <w:spacing w:before="135" w:after="135"/>
        <w:ind w:hanging="0" w:start="135" w:end="135"/>
        <w:jc w:val="start"/>
        <w:rPr>
          <w:bdr w:val="single" w:sz="2" w:space="1" w:color="000000"/>
        </w:rPr>
      </w:pPr>
      <w:r>
        <w:rPr>
          <w:bdr w:val="single" w:sz="2" w:space="1" w:color="000000"/>
        </w:rPr>
        <w:t>Q7. What institutional privacy frameworks does this support?</w:t>
      </w:r>
    </w:p>
    <w:p>
      <w:pPr>
        <w:pStyle w:val="BodyText"/>
        <w:bidi w:val="0"/>
        <w:spacing w:before="135" w:after="135"/>
        <w:ind w:start="135" w:end="135"/>
        <w:jc w:val="start"/>
        <w:rPr>
          <w:bdr w:val="single" w:sz="2" w:space="1" w:color="000000"/>
        </w:rPr>
      </w:pPr>
      <w:r>
        <w:rPr>
          <w:bdr w:val="single" w:sz="2" w:space="1" w:color="000000"/>
        </w:rPr>
        <w:t>It supports technical controls commonly needed for student-data governance (local processing, access control, auditability, retention controls). Formal legal compliance status must be determined by institutional counsel and policy teams.</w:t>
      </w:r>
    </w:p>
    <w:p>
      <w:pPr>
        <w:pStyle w:val="BodyText"/>
        <w:bidi w:val="0"/>
        <w:spacing w:before="135" w:after="135"/>
        <w:ind w:hanging="0" w:start="135" w:end="135"/>
        <w:jc w:val="start"/>
        <w:rPr>
          <w:bdr w:val="single" w:sz="2" w:space="1" w:color="000000"/>
        </w:rPr>
      </w:pPr>
      <w:r>
        <w:rPr>
          <w:bdr w:val="single" w:sz="2" w:space="1" w:color="000000"/>
        </w:rPr>
        <w:t>Q8. What problem does entity-locked retrieval solve?</w:t>
      </w:r>
    </w:p>
    <w:p>
      <w:pPr>
        <w:pStyle w:val="BodyText"/>
        <w:bidi w:val="0"/>
        <w:spacing w:before="135" w:after="135"/>
        <w:ind w:start="135" w:end="135"/>
        <w:jc w:val="start"/>
        <w:rPr>
          <w:bdr w:val="single" w:sz="2" w:space="1" w:color="000000"/>
        </w:rPr>
      </w:pPr>
      <w:r>
        <w:rPr>
          <w:bdr w:val="single" w:sz="2" w:space="1" w:color="000000"/>
        </w:rPr>
        <w:t>It prevents cross-entity contamination (for example returning UAE data for an Iran question). This is critical for trust in reference-book QA workflows.</w:t>
      </w:r>
    </w:p>
    <w:p>
      <w:pPr>
        <w:pStyle w:val="BodyText"/>
        <w:bidi w:val="0"/>
        <w:spacing w:before="135" w:after="135"/>
        <w:ind w:hanging="0" w:start="135" w:end="135"/>
        <w:jc w:val="start"/>
        <w:rPr>
          <w:bdr w:val="single" w:sz="2" w:space="1" w:color="000000"/>
        </w:rPr>
      </w:pPr>
      <w:r>
        <w:rPr>
          <w:bdr w:val="single" w:sz="2" w:space="1" w:color="000000"/>
        </w:rPr>
        <w:t>Q9. What happens when model generation endpoint is unavailable?</w:t>
      </w:r>
    </w:p>
    <w:p>
      <w:pPr>
        <w:pStyle w:val="BodyText"/>
        <w:bidi w:val="0"/>
        <w:spacing w:before="135" w:after="135"/>
        <w:ind w:start="135" w:end="135"/>
        <w:jc w:val="start"/>
        <w:rPr>
          <w:bdr w:val="single" w:sz="2" w:space="1" w:color="000000"/>
        </w:rPr>
      </w:pPr>
      <w:r>
        <w:rPr>
          <w:bdr w:val="single" w:sz="2" w:space="1" w:color="000000"/>
        </w:rPr>
        <w:t>The system can return deterministic/local reliability-safe results or explicit inability-to-answer messages instead of hallucinated content.</w:t>
      </w:r>
    </w:p>
    <w:p>
      <w:pPr>
        <w:pStyle w:val="BodyText"/>
        <w:bidi w:val="0"/>
        <w:spacing w:before="135" w:after="135"/>
        <w:ind w:hanging="0" w:start="135" w:end="135"/>
        <w:jc w:val="start"/>
        <w:rPr>
          <w:bdr w:val="single" w:sz="2" w:space="1" w:color="000000"/>
        </w:rPr>
      </w:pPr>
      <w:r>
        <w:rPr>
          <w:bdr w:val="single" w:sz="2" w:space="1" w:color="000000"/>
        </w:rPr>
        <w:t>Q10. Why keep the legacy retriever modules if a better pipeline exists?</w:t>
      </w:r>
    </w:p>
    <w:p>
      <w:pPr>
        <w:pStyle w:val="BodyText"/>
        <w:bidi w:val="0"/>
        <w:spacing w:before="135" w:after="135"/>
        <w:ind w:start="135" w:end="135"/>
        <w:jc w:val="start"/>
        <w:rPr>
          <w:bdr w:val="single" w:sz="2" w:space="1" w:color="000000"/>
        </w:rPr>
      </w:pPr>
      <w:r>
        <w:rPr>
          <w:bdr w:val="single" w:sz="2" w:space="1" w:color="000000"/>
        </w:rPr>
        <w:t>Legacy modules preserve backward compatibility and can act as degraded fallback paths while migration to the generic reference pipeline continues.</w:t>
      </w:r>
    </w:p>
    <w:p>
      <w:pPr>
        <w:pStyle w:val="BodyText"/>
        <w:bidi w:val="0"/>
        <w:spacing w:before="135" w:after="135"/>
        <w:ind w:hanging="0" w:start="135" w:end="135"/>
        <w:jc w:val="start"/>
        <w:rPr>
          <w:bdr w:val="single" w:sz="2" w:space="1" w:color="000000"/>
        </w:rPr>
      </w:pPr>
      <w:r>
        <w:rPr>
          <w:bdr w:val="single" w:sz="2" w:space="1" w:color="000000"/>
        </w:rPr>
        <w:t>Q11. Is transcription fully offline?</w:t>
      </w:r>
    </w:p>
    <w:p>
      <w:pPr>
        <w:pStyle w:val="BodyText"/>
        <w:bidi w:val="0"/>
        <w:spacing w:before="135" w:after="135"/>
        <w:ind w:start="135" w:end="135"/>
        <w:jc w:val="start"/>
        <w:rPr>
          <w:bdr w:val="single" w:sz="2" w:space="1" w:color="000000"/>
        </w:rPr>
      </w:pPr>
      <w:r>
        <w:rPr>
          <w:bdr w:val="single" w:sz="2" w:space="1" w:color="000000"/>
        </w:rPr>
        <w:t>Speech recognition is local in current workflows. One-time dependency/model installation may require internet during setup phases.</w:t>
      </w:r>
    </w:p>
    <w:p>
      <w:pPr>
        <w:pStyle w:val="BodyText"/>
        <w:bidi w:val="0"/>
        <w:spacing w:before="135" w:after="135"/>
        <w:ind w:hanging="0" w:start="135" w:end="135"/>
        <w:jc w:val="start"/>
        <w:rPr>
          <w:bdr w:val="single" w:sz="2" w:space="1" w:color="000000"/>
        </w:rPr>
      </w:pPr>
      <w:r>
        <w:rPr>
          <w:bdr w:val="single" w:sz="2" w:space="1" w:color="000000"/>
        </w:rPr>
        <w:t>Q12. Is translation fully offline?</w:t>
      </w:r>
    </w:p>
    <w:p>
      <w:pPr>
        <w:pStyle w:val="BodyText"/>
        <w:bidi w:val="0"/>
        <w:spacing w:before="135" w:after="135"/>
        <w:ind w:start="135" w:end="135"/>
        <w:jc w:val="start"/>
        <w:rPr>
          <w:bdr w:val="single" w:sz="2" w:space="1" w:color="000000"/>
        </w:rPr>
      </w:pPr>
      <w:r>
        <w:rPr>
          <w:bdr w:val="single" w:sz="2" w:space="1" w:color="000000"/>
        </w:rPr>
        <w:t>After language packs are installed, translation runs offline via Argos. Initial package retrieval is network-dependent.</w:t>
      </w:r>
    </w:p>
    <w:p>
      <w:pPr>
        <w:pStyle w:val="BodyText"/>
        <w:bidi w:val="0"/>
        <w:spacing w:before="135" w:after="135"/>
        <w:ind w:hanging="0" w:start="135" w:end="135"/>
        <w:jc w:val="start"/>
        <w:rPr>
          <w:bdr w:val="single" w:sz="2" w:space="1" w:color="000000"/>
        </w:rPr>
      </w:pPr>
      <w:r>
        <w:rPr>
          <w:bdr w:val="single" w:sz="2" w:space="1" w:color="000000"/>
        </w:rPr>
        <w:t>Q13. What is the strongest evidence this is not locked to one book?</w:t>
      </w:r>
    </w:p>
    <w:p>
      <w:pPr>
        <w:pStyle w:val="BodyText"/>
        <w:bidi w:val="0"/>
        <w:spacing w:before="135" w:after="135"/>
        <w:ind w:start="135" w:end="135"/>
        <w:jc w:val="start"/>
        <w:rPr/>
      </w:pPr>
      <w:r>
        <w:rPr>
          <w:bdr w:val="single" w:sz="2" w:space="1" w:color="000000"/>
        </w:rPr>
        <w:t xml:space="preserve">The </w:t>
      </w:r>
      <w:r>
        <w:rPr>
          <w:rStyle w:val="SourceText"/>
          <w:bdr w:val="single" w:sz="2" w:space="1" w:color="000000"/>
        </w:rPr>
        <w:t>reference_ingest/reference_query/reference_config</w:t>
      </w:r>
      <w:r>
        <w:rPr>
          <w:bdr w:val="single" w:sz="2" w:space="1" w:color="000000"/>
        </w:rPr>
        <w:t xml:space="preserve"> modules are corpus-agnostic and tested with non-Factbook sample corpora in </w:t>
      </w:r>
      <w:r>
        <w:rPr>
          <w:rStyle w:val="SourceText"/>
          <w:bdr w:val="single" w:sz="2" w:space="1" w:color="000000"/>
        </w:rPr>
        <w:t>test_reference_pipeline_generic.py</w:t>
      </w:r>
      <w:r>
        <w:rPr>
          <w:bdr w:val="single" w:sz="2" w:space="1" w:color="000000"/>
        </w:rPr>
        <w:t>.</w:t>
      </w:r>
    </w:p>
    <w:p>
      <w:pPr>
        <w:pStyle w:val="BodyText"/>
        <w:bidi w:val="0"/>
        <w:spacing w:before="135" w:after="135"/>
        <w:ind w:hanging="0" w:start="135" w:end="135"/>
        <w:jc w:val="start"/>
        <w:rPr>
          <w:bdr w:val="single" w:sz="2" w:space="1" w:color="000000"/>
        </w:rPr>
      </w:pPr>
      <w:r>
        <w:rPr>
          <w:bdr w:val="single" w:sz="2" w:space="1" w:color="000000"/>
        </w:rPr>
        <w:t>Q14. How do we answer claims that local models are less accurate than SaaS?</w:t>
      </w:r>
    </w:p>
    <w:p>
      <w:pPr>
        <w:pStyle w:val="BodyText"/>
        <w:bidi w:val="0"/>
        <w:spacing w:before="135" w:after="135"/>
        <w:ind w:start="135" w:end="135"/>
        <w:jc w:val="start"/>
        <w:rPr>
          <w:bdr w:val="single" w:sz="2" w:space="1" w:color="000000"/>
        </w:rPr>
      </w:pPr>
      <w:r>
        <w:rPr>
          <w:bdr w:val="single" w:sz="2" w:space="1" w:color="000000"/>
        </w:rPr>
        <w:t>Accuracy is workload-specific. This system mitigates risk by deterministic extraction, citation requirements, entity-locking, and regression tests. For high-stakes use, domain eval sets and acceptance thresholds should drive deployment decisions.</w:t>
      </w:r>
    </w:p>
    <w:p>
      <w:pPr>
        <w:pStyle w:val="BodyText"/>
        <w:bidi w:val="0"/>
        <w:spacing w:before="135" w:after="135"/>
        <w:ind w:hanging="0" w:start="135" w:end="135"/>
        <w:jc w:val="start"/>
        <w:rPr>
          <w:bdr w:val="single" w:sz="2" w:space="1" w:color="000000"/>
        </w:rPr>
      </w:pPr>
      <w:r>
        <w:rPr>
          <w:bdr w:val="single" w:sz="2" w:space="1" w:color="000000"/>
        </w:rPr>
        <w:t>Q15. What if instructors accidentally ingest sensitive files?</w:t>
      </w:r>
    </w:p>
    <w:p>
      <w:pPr>
        <w:pStyle w:val="BodyText"/>
        <w:bidi w:val="0"/>
        <w:spacing w:before="135" w:after="135"/>
        <w:ind w:start="135" w:end="135"/>
        <w:jc w:val="start"/>
        <w:rPr>
          <w:bdr w:val="single" w:sz="2" w:space="1" w:color="000000"/>
        </w:rPr>
      </w:pPr>
      <w:r>
        <w:rPr>
          <w:bdr w:val="single" w:sz="2" w:space="1" w:color="000000"/>
        </w:rPr>
        <w:t>Implement ingestion policy controls: approved directories, access controls, and review workflows. The tool allows local governance; it does not enforce institution policy by itself.</w:t>
      </w:r>
    </w:p>
    <w:p>
      <w:pPr>
        <w:pStyle w:val="BodyText"/>
        <w:bidi w:val="0"/>
        <w:spacing w:before="135" w:after="135"/>
        <w:ind w:hanging="0" w:start="135" w:end="135"/>
        <w:jc w:val="start"/>
        <w:rPr>
          <w:bdr w:val="single" w:sz="2" w:space="1" w:color="000000"/>
        </w:rPr>
      </w:pPr>
      <w:r>
        <w:rPr>
          <w:bdr w:val="single" w:sz="2" w:space="1" w:color="000000"/>
        </w:rPr>
        <w:t>Q16. What if a dean asks "why this app exists"?</w:t>
      </w:r>
    </w:p>
    <w:p>
      <w:pPr>
        <w:pStyle w:val="BodyText"/>
        <w:bidi w:val="0"/>
        <w:spacing w:before="135" w:after="135"/>
        <w:ind w:start="135" w:end="135"/>
        <w:jc w:val="start"/>
        <w:rPr>
          <w:bdr w:val="single" w:sz="2" w:space="1" w:color="000000"/>
        </w:rPr>
      </w:pPr>
      <w:r>
        <w:rPr>
          <w:bdr w:val="single" w:sz="2" w:space="1" w:color="000000"/>
        </w:rPr>
        <w:t>It solves the gap between AI utility and institutional privacy obligations: local-first instructional assistance, auditable model governance, and practical teacher-facing workflows for Q&amp;A, transcription, and translation.</w:t>
      </w:r>
    </w:p>
    <w:p>
      <w:pPr>
        <w:pStyle w:val="BodyText"/>
        <w:bidi w:val="0"/>
        <w:spacing w:before="135" w:after="135"/>
        <w:ind w:hanging="0" w:start="135" w:end="135"/>
        <w:jc w:val="start"/>
        <w:rPr>
          <w:bdr w:val="single" w:sz="2" w:space="1" w:color="000000"/>
        </w:rPr>
      </w:pPr>
      <w:r>
        <w:rPr>
          <w:bdr w:val="single" w:sz="2" w:space="1" w:color="000000"/>
        </w:rPr>
        <w:t>Q17. What are the primary measurable outcomes?</w:t>
      </w:r>
    </w:p>
    <w:p>
      <w:pPr>
        <w:pStyle w:val="BodyText"/>
        <w:bidi w:val="0"/>
        <w:spacing w:before="135" w:after="135"/>
        <w:ind w:start="135" w:end="135"/>
        <w:jc w:val="start"/>
        <w:rPr>
          <w:bdr w:val="single" w:sz="2" w:space="1" w:color="000000"/>
        </w:rPr>
      </w:pPr>
      <w:r>
        <w:rPr>
          <w:bdr w:val="single" w:sz="2" w:space="1" w:color="000000"/>
        </w:rPr>
        <w:t>Reduced external data transfer for classroom artifacts, faster instructor retrieval workflows, improved transcript availability, and repeatable provenance tracking for deployed models.</w:t>
      </w:r>
    </w:p>
    <w:p>
      <w:pPr>
        <w:pStyle w:val="BodyText"/>
        <w:bidi w:val="0"/>
        <w:spacing w:before="135" w:after="135"/>
        <w:ind w:hanging="0" w:start="135" w:end="135"/>
        <w:jc w:val="start"/>
        <w:rPr>
          <w:bdr w:val="single" w:sz="2" w:space="1" w:color="000000"/>
        </w:rPr>
      </w:pPr>
      <w:r>
        <w:rPr>
          <w:bdr w:val="single" w:sz="2" w:space="1" w:color="000000"/>
        </w:rPr>
        <w:t>Q18. Can this meet all privacy requirements automatically?</w:t>
      </w:r>
    </w:p>
    <w:p>
      <w:pPr>
        <w:pStyle w:val="BodyText"/>
        <w:bidi w:val="0"/>
        <w:spacing w:before="135" w:after="135"/>
        <w:ind w:start="135" w:end="135"/>
        <w:jc w:val="start"/>
        <w:rPr>
          <w:bdr w:val="single" w:sz="2" w:space="1" w:color="000000"/>
        </w:rPr>
      </w:pPr>
      <w:r>
        <w:rPr>
          <w:bdr w:val="single" w:sz="2" w:space="1" w:color="000000"/>
        </w:rPr>
        <w:t>No. It provides a strong technical substrate, but compliance requires policy, IAM, endpoint controls, network controls, retention policy, and legal governance.</w:t>
      </w:r>
    </w:p>
    <w:p>
      <w:pPr>
        <w:pStyle w:val="BodyText"/>
        <w:bidi w:val="0"/>
        <w:spacing w:before="135" w:after="135"/>
        <w:ind w:hanging="0" w:start="135" w:end="135"/>
        <w:jc w:val="start"/>
        <w:rPr>
          <w:bdr w:val="single" w:sz="2" w:space="1" w:color="000000"/>
        </w:rPr>
      </w:pPr>
      <w:r>
        <w:rPr>
          <w:bdr w:val="single" w:sz="2" w:space="1" w:color="000000"/>
        </w:rPr>
        <w:t>Q19. How do we defend against "black box" criticism?</w:t>
      </w:r>
    </w:p>
    <w:p>
      <w:pPr>
        <w:pStyle w:val="BodyText"/>
        <w:bidi w:val="0"/>
        <w:spacing w:before="135" w:after="135"/>
        <w:ind w:start="135" w:end="135"/>
        <w:jc w:val="start"/>
        <w:rPr>
          <w:bdr w:val="single" w:sz="2" w:space="1" w:color="000000"/>
        </w:rPr>
      </w:pPr>
      <w:r>
        <w:rPr>
          <w:bdr w:val="single" w:sz="2" w:space="1" w:color="000000"/>
        </w:rPr>
        <w:t>By providing inspectable Modelfiles, local model metadata, explicit retrieval pipelines, citation outputs, deterministic fallback logic, and regression tests tied to known failure modes.</w:t>
      </w:r>
    </w:p>
    <w:p>
      <w:pPr>
        <w:pStyle w:val="BodyText"/>
        <w:bidi w:val="0"/>
        <w:spacing w:before="135" w:after="135"/>
        <w:ind w:hanging="0" w:start="135" w:end="135"/>
        <w:jc w:val="start"/>
        <w:rPr>
          <w:bdr w:val="single" w:sz="2" w:space="1" w:color="000000"/>
        </w:rPr>
      </w:pPr>
      <w:r>
        <w:rPr>
          <w:bdr w:val="single" w:sz="2" w:space="1" w:color="000000"/>
        </w:rPr>
        <w:t>Q20. What should trigger immediate engineering escalation?</w:t>
      </w:r>
    </w:p>
    <w:p>
      <w:pPr>
        <w:pStyle w:val="BodyText"/>
        <w:bidi w:val="0"/>
        <w:spacing w:before="135" w:after="135"/>
        <w:ind w:start="135" w:end="135"/>
        <w:jc w:val="start"/>
        <w:rPr>
          <w:bdr w:val="single" w:sz="2" w:space="1" w:color="000000"/>
        </w:rPr>
      </w:pPr>
      <w:r>
        <w:rPr>
          <w:bdr w:val="single" w:sz="2" w:space="1" w:color="000000"/>
        </w:rPr>
        <w:t>Cross-entity answer contamination, missing-citation high-confidence answers, model identity drift, unexpected outbound traffic, or failures in reliability test suite.</w:t>
      </w:r>
    </w:p>
    <w:p>
      <w:pPr>
        <w:pStyle w:val="BodyText"/>
        <w:bidi w:val="0"/>
        <w:spacing w:before="210" w:after="120"/>
        <w:jc w:val="start"/>
        <w:rPr/>
      </w:pPr>
      <w:r>
        <w:rPr/>
        <w:t>9) Known Limits and Escalation Triggers</w:t>
      </w:r>
    </w:p>
    <w:p>
      <w:pPr>
        <w:pStyle w:val="Heading3"/>
        <w:bidi w:val="0"/>
        <w:spacing w:before="210" w:after="120"/>
        <w:jc w:val="start"/>
        <w:rPr/>
      </w:pPr>
      <w:r>
        <w:rPr/>
        <w:t>Known technical limits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829" w:leader="none"/>
        </w:tabs>
        <w:bidi w:val="0"/>
        <w:spacing w:before="210" w:after="120"/>
        <w:ind w:hanging="283" w:start="829"/>
        <w:jc w:val="start"/>
        <w:rPr/>
      </w:pPr>
      <w:r>
        <w:rPr/>
        <w:t xml:space="preserve">Legacy retriever path remains keyword-based and should not be treated as high-assurance by itself.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829" w:leader="none"/>
        </w:tabs>
        <w:bidi w:val="0"/>
        <w:spacing w:before="210" w:after="120"/>
        <w:ind w:hanging="283" w:start="829"/>
        <w:jc w:val="start"/>
        <w:rPr/>
      </w:pPr>
      <w:r>
        <w:rPr/>
        <w:t xml:space="preserve">Corpus quality and parser heuristics directly affect deterministic extraction quality.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829" w:leader="none"/>
        </w:tabs>
        <w:bidi w:val="0"/>
        <w:spacing w:before="210" w:after="120"/>
        <w:ind w:hanging="283" w:start="829"/>
        <w:jc w:val="start"/>
        <w:rPr/>
      </w:pPr>
      <w:r>
        <w:rPr/>
        <w:t xml:space="preserve">Audio quality, device gain, and environment noise strongly affect transcription outcomes. </w:t>
      </w:r>
    </w:p>
    <w:p>
      <w:pPr>
        <w:pStyle w:val="Heading3"/>
        <w:bidi w:val="0"/>
        <w:spacing w:before="210" w:after="120"/>
        <w:jc w:val="start"/>
        <w:rPr/>
      </w:pPr>
      <w:r>
        <w:rPr/>
        <w:t>Escalate immediately when observed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829" w:leader="none"/>
        </w:tabs>
        <w:bidi w:val="0"/>
        <w:spacing w:before="210" w:after="120"/>
        <w:ind w:hanging="283" w:start="829"/>
        <w:jc w:val="start"/>
        <w:rPr/>
      </w:pPr>
      <w:r>
        <w:rPr/>
        <w:t xml:space="preserve">Any wrong-entity answers in known deterministic question classes.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829" w:leader="none"/>
        </w:tabs>
        <w:bidi w:val="0"/>
        <w:spacing w:before="210" w:after="120"/>
        <w:ind w:hanging="283" w:start="829"/>
        <w:jc w:val="start"/>
        <w:rPr/>
      </w:pPr>
      <w:r>
        <w:rPr/>
        <w:t xml:space="preserve">Loss of model provenance evidence (unknown model ID/lineage in deployment).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829" w:leader="none"/>
        </w:tabs>
        <w:bidi w:val="0"/>
        <w:spacing w:before="210" w:after="120"/>
        <w:ind w:hanging="283" w:start="829"/>
        <w:jc w:val="start"/>
        <w:rPr/>
      </w:pPr>
      <w:r>
        <w:rPr/>
        <w:t xml:space="preserve">Operational profile drift across lab/classroom endpoints.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829" w:leader="none"/>
        </w:tabs>
        <w:bidi w:val="0"/>
        <w:spacing w:before="210" w:after="120"/>
        <w:ind w:hanging="283" w:start="829"/>
        <w:jc w:val="start"/>
        <w:rPr/>
      </w:pPr>
      <w:r>
        <w:rPr/>
        <w:t xml:space="preserve">Any policy exception requiring non-local API routing for student artifacts. </w:t>
      </w:r>
    </w:p>
    <w:p>
      <w:pPr>
        <w:pStyle w:val="BodyTextfooter"/>
        <w:bidi w:val="0"/>
        <w:spacing w:before="210" w:after="120"/>
        <w:jc w:val="start"/>
        <w:rPr/>
      </w:pPr>
      <w:r>
        <w:rPr/>
        <w:t xml:space="preserve">Document owner: CITL Engineering. Review cadence: each model or architecture change, or at least once per academic term.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Segoe UI">
    <w:altName w:val="Helvetica Neue"/>
    <w:charset w:val="01" w:characterSet="utf-8"/>
    <w:family w:val="auto"/>
    <w:pitch w:val="default"/>
  </w:font>
  <w:font w:name="ui-monospace">
    <w:altName w:val="SFMono-Regular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65"/>
    </w:pPr>
    <w:rPr>
      <w:rFonts w:ascii="Segoe UI;Helvetica Neue;Arial;sans-serif" w:hAnsi="Segoe UI;Helvetica Neue;Arial;sans-serif" w:eastAsia="Segoe UI;Helvetica Neue;Arial;sans-serif" w:cs="Segoe UI;Helvetica Neue;Arial;sans-serif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80" w:after="90"/>
      <w:ind w:start="180" w:end="18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ui-monospace;SFMono-Regular;Menlo;Consolas;monospace" w:hAnsi="ui-monospace;SFMono-Regular;Menlo;Consolas;monospace" w:eastAsia="ui-monospace;SFMono-Regular;Menlo;Consolas;monospace" w:cs="ui-monospace;SFMono-Regular;Menlo;Consolas;monospace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120" w:after="120"/>
      <w:ind w:start="120" w:end="120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start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PreformattedText">
    <w:name w:val="Preformatted Text"/>
    <w:basedOn w:val="Normal"/>
    <w:qFormat/>
    <w:pPr>
      <w:pBdr>
        <w:top w:val="single" w:sz="2" w:space="8" w:color="000000"/>
        <w:left w:val="single" w:sz="2" w:space="8" w:color="000000"/>
        <w:bottom w:val="single" w:sz="2" w:space="8" w:color="000000"/>
      </w:pBdr>
      <w:spacing w:lineRule="auto" w:line="348" w:before="150" w:after="150"/>
      <w:ind w:start="150" w:end="150"/>
    </w:pPr>
    <w:rPr>
      <w:rFonts w:ascii="ui-monospace;SFMono-Regular;Menlo;Consolas;monospace" w:hAnsi="ui-monospace;SFMono-Regular;Menlo;Consolas;monospace" w:eastAsia="ui-monospace;SFMono-Regular;Menlo;Consolas;monospace" w:cs="ui-monospace;SFMono-Regular;Menlo;Consolas;monospace"/>
      <w:sz w:val="20"/>
      <w:szCs w:val="20"/>
    </w:rPr>
  </w:style>
  <w:style w:type="paragraph" w:styleId="BodyTextsmall">
    <w:name w:val="Body Text.small"/>
    <w:basedOn w:val="BodyText"/>
    <w:qFormat/>
    <w:pPr/>
    <w:rPr/>
  </w:style>
  <w:style w:type="paragraph" w:styleId="TableHeading">
    <w:name w:val="Table Heading"/>
    <w:basedOn w:val="TableContents"/>
    <w:qFormat/>
    <w:pPr>
      <w:suppressLineNumbers/>
      <w:jc w:val="start"/>
    </w:pPr>
    <w:rPr>
      <w:b/>
      <w:bCs/>
    </w:rPr>
  </w:style>
  <w:style w:type="paragraph" w:styleId="BodyTextfooter">
    <w:name w:val="Body Text.footer"/>
    <w:basedOn w:val="BodyText"/>
    <w:qFormat/>
    <w:pPr>
      <w:spacing w:before="210" w:after="12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LibreOffice/25.8.5.2$Linux_X86_64 LibreOffice_project/252c20f6956e3db0b52e6e2f9dda67263513c8fc</Application>
  <AppVersion>15.0000</AppVersion>
  <Pages>1</Pages>
  <Words>2526</Words>
  <Characters>18379</Characters>
  <CharactersWithSpaces>20550</CharactersWithSpaces>
  <Paragraphs>423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CITL Engineering Manual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viewport">
    <vt:lpwstr>width=device-width, initial-scale=1</vt:lpwstr>
  </property>
</Properties>
</file>