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Georgia" w:cs="Georgia" w:eastAsia="Georgia" w:hAnsi="Georgia"/>
          <w:b/>
          <w:bCs/>
          <w:color w:val="1B3A5C"/>
          <w:sz w:val="40"/>
          <w:szCs w:val="40"/>
        </w:rPr>
        <w:t xml:space="preserve">THE GRADIENT PAPERS</w:t>
      </w:r>
    </w:p>
    <w:p>
      <w:pPr>
        <w:spacing w:after="20"/>
        <w:jc w:val="center"/>
      </w:pPr>
      <w:r>
        <w:rPr>
          <w:rFonts w:ascii="Georgia" w:cs="Georgia" w:eastAsia="Georgia" w:hAnsi="Georgia"/>
          <w:color w:val="666666"/>
          <w:sz w:val="20"/>
          <w:szCs w:val="20"/>
        </w:rPr>
        <w:t xml:space="preserve">──────────────────────────</w:t>
      </w:r>
    </w:p>
    <w:p>
      <w:pPr>
        <w:spacing w:after="40"/>
        <w:jc w:val="center"/>
      </w:pPr>
      <w:r>
        <w:rPr>
          <w:rFonts w:ascii="Georgia" w:cs="Georgia" w:eastAsia="Georgia" w:hAnsi="Georgia"/>
          <w:i/>
          <w:iCs/>
          <w:sz w:val="24"/>
          <w:szCs w:val="24"/>
        </w:rPr>
        <w:t xml:space="preserve">A Nine-Part Working Dissertation on the Architecture,</w:t>
      </w:r>
    </w:p>
    <w:p>
      <w:pPr>
        <w:spacing w:after="40"/>
        <w:jc w:val="center"/>
      </w:pPr>
      <w:r>
        <w:rPr>
          <w:rFonts w:ascii="Georgia" w:cs="Georgia" w:eastAsia="Georgia" w:hAnsi="Georgia"/>
          <w:i/>
          <w:iCs/>
          <w:sz w:val="24"/>
          <w:szCs w:val="24"/>
        </w:rPr>
        <w:t xml:space="preserve">Economics, Governance, and Biological Foundations</w:t>
      </w:r>
    </w:p>
    <w:p>
      <w:pPr>
        <w:spacing w:after="200"/>
        <w:jc w:val="center"/>
      </w:pPr>
      <w:r>
        <w:rPr>
          <w:rFonts w:ascii="Georgia" w:cs="Georgia" w:eastAsia="Georgia" w:hAnsi="Georgia"/>
          <w:i/>
          <w:iCs/>
          <w:sz w:val="24"/>
          <w:szCs w:val="24"/>
        </w:rPr>
        <w:t xml:space="preserve">of the Citrate Network</w:t>
      </w:r>
    </w:p>
    <w:p>
      <w:pPr>
        <w:spacing w:after="20"/>
        <w:jc w:val="center"/>
      </w:pPr>
      <w:r>
        <w:rPr>
          <w:rFonts w:ascii="Georgia" w:cs="Georgia" w:eastAsia="Georgia" w:hAnsi="Georgia"/>
          <w:b/>
          <w:bCs/>
          <w:sz w:val="22"/>
          <w:szCs w:val="22"/>
        </w:rPr>
        <w:t xml:space="preserve">Series Index  •  Executive Summary  •  Reading Guide</w:t>
      </w:r>
    </w:p>
    <w:p>
      <w:pPr>
        <w:spacing w:after="40"/>
        <w:jc w:val="center"/>
      </w:pPr>
      <w:r>
        <w:rPr>
          <w:rFonts w:ascii="Georgia" w:cs="Georgia" w:eastAsia="Georgia" w:hAnsi="Georgia"/>
          <w:sz w:val="22"/>
          <w:szCs w:val="22"/>
        </w:rPr>
        <w:t xml:space="preserve">Larry Klosowski</w:t>
      </w:r>
    </w:p>
    <w:p>
      <w:pPr>
        <w:spacing w:after="20"/>
        <w:jc w:val="center"/>
      </w:pPr>
      <w:r>
        <w:rPr>
          <w:rFonts w:ascii="Georgia" w:cs="Georgia" w:eastAsia="Georgia" w:hAnsi="Georgia"/>
          <w:color w:val="666666"/>
          <w:sz w:val="20"/>
          <w:szCs w:val="20"/>
        </w:rPr>
        <w:t xml:space="preserve">Cnidarian Foundation / Labs  •  Dandi Health Inc.</w:t>
      </w:r>
    </w:p>
    <w:p>
      <w:pPr>
        <w:spacing w:after="300"/>
        <w:jc w:val="center"/>
      </w:pPr>
      <w:r>
        <w:rPr>
          <w:rFonts w:ascii="Georgia" w:cs="Georgia" w:eastAsia="Georgia" w:hAnsi="Georgia"/>
          <w:i/>
          <w:iCs/>
          <w:color w:val="666666"/>
          <w:sz w:val="20"/>
          <w:szCs w:val="20"/>
        </w:rPr>
        <w:t xml:space="preserve">February 2026  •  Working Document  •  v2.0</w:t>
      </w:r>
    </w:p>
    <w:p>
      <w:pPr>
        <w:pStyle w:val="Heading1"/>
        <w:spacing w:before="300" w:after="150"/>
      </w:pPr>
      <w:r>
        <w:rPr>
          <w:rFonts w:ascii="Georgia" w:cs="Georgia" w:eastAsia="Georgia" w:hAnsi="Georgia"/>
        </w:rPr>
        <w:t xml:space="preserve">Executive Summary</w:t>
      </w:r>
    </w:p>
    <w:p>
      <w:pPr>
        <w:spacing w:after="120" w:line="276"/>
        <w:jc w:val="both"/>
      </w:pPr>
      <w:r>
        <w:rPr>
          <w:rFonts w:ascii="Georgia" w:cs="Georgia" w:eastAsia="Georgia" w:hAnsi="Georgia"/>
          <w:b/>
          <w:bCs/>
          <w:sz w:val="22"/>
          <w:szCs w:val="22"/>
        </w:rPr>
        <w:t xml:space="preserve">The thesis in one sentence: </w:t>
      </w:r>
      <w:r>
        <w:rPr>
          <w:rFonts w:ascii="Georgia" w:cs="Georgia" w:eastAsia="Georgia" w:hAnsi="Georgia"/>
          <w:sz w:val="22"/>
          <w:szCs w:val="22"/>
        </w:rPr>
        <w:t xml:space="preserve">Models are smarter together than apart, consensus and learning are the same process, and a network that learns by reaching consensus will outperform any network that treats intelligence and agreement as separate concerns.</w:t>
      </w:r>
    </w:p>
    <w:p>
      <w:pPr>
        <w:spacing w:after="120" w:line="276"/>
        <w:jc w:val="both"/>
      </w:pPr>
      <w:r>
        <w:rPr>
          <w:rFonts w:ascii="Georgia" w:cs="Georgia" w:eastAsia="Georgia" w:hAnsi="Georgia"/>
          <w:sz w:val="22"/>
          <w:szCs w:val="22"/>
        </w:rPr>
        <w:t xml:space="preserve">The Gradient Papers are a nine-part working dissertation documenting the Citrate Network: the first blockchain architecture where the act of reaching consensus simultaneously trains a distributed meta-model. Each paper stands independently as a focused contribution to its domain—protocol specification, consensus theory, federated learning, engineering methodology, analog hardware, cross-chain infrastructure, cooperative economics, governance, and biomimetic computing—while contributing to a single architectural narrative.</w:t>
      </w:r>
    </w:p>
    <w:p>
      <w:pPr>
        <w:spacing w:after="120" w:line="276"/>
        <w:jc w:val="both"/>
      </w:pPr>
      <w:r>
        <w:rPr>
          <w:rFonts w:ascii="Georgia" w:cs="Georgia" w:eastAsia="Georgia" w:hAnsi="Georgia"/>
          <w:sz w:val="22"/>
          <w:szCs w:val="22"/>
        </w:rPr>
        <w:t xml:space="preserve">The series is ordered to tell a story from implementation to inspiration. It begins with the working system (I), moves through the core mechanisms (II–III), the engineering methodology (IV), the hardware research (V), the bridge and fundraising infrastructure (VI), and concludes with the economic philosophy (VII), governance (VIII), and the biological inspiration that seeded it all (IX).</w:t>
      </w:r>
    </w:p>
    <w:p>
      <w:pPr>
        <w:pStyle w:val="Heading1"/>
        <w:spacing w:before="300" w:after="150"/>
      </w:pPr>
      <w:r>
        <w:rPr>
          <w:rFonts w:ascii="Georgia" w:cs="Georgia" w:eastAsia="Georgia" w:hAnsi="Georgia"/>
        </w:rPr>
        <w:t xml:space="preserve">The Arc</w:t>
      </w:r>
    </w:p>
    <w:p>
      <w:pPr>
        <w:spacing w:after="120" w:line="276"/>
        <w:jc w:val="both"/>
      </w:pPr>
      <w:r>
        <w:rPr>
          <w:rFonts w:ascii="Georgia" w:cs="Georgia" w:eastAsia="Georgia" w:hAnsi="Georgia"/>
          <w:b/>
          <w:bCs/>
          <w:sz w:val="22"/>
          <w:szCs w:val="22"/>
        </w:rPr>
        <w:t xml:space="preserve">I — The System (What): </w:t>
      </w:r>
      <w:r>
        <w:rPr>
          <w:rFonts w:ascii="Georgia" w:cs="Georgia" w:eastAsia="Georgia" w:hAnsi="Georgia"/>
          <w:sz w:val="22"/>
          <w:szCs w:val="22"/>
        </w:rPr>
        <w:t xml:space="preserve">Citrate Technical Paper. Complete protocol specification: GhostDAG consensus, Lattice Virtual Machine, MCP orchestration, SALT tokenomics. The definitive reference.</w:t>
      </w:r>
    </w:p>
    <w:p>
      <w:pPr>
        <w:spacing w:after="120" w:line="276"/>
        <w:jc w:val="both"/>
      </w:pPr>
      <w:r>
        <w:rPr>
          <w:rFonts w:ascii="Georgia" w:cs="Georgia" w:eastAsia="Georgia" w:hAnsi="Georgia"/>
          <w:b/>
          <w:bCs/>
          <w:sz w:val="22"/>
          <w:szCs w:val="22"/>
        </w:rPr>
        <w:t xml:space="preserve">II–III — Core Mechanism (How): </w:t>
      </w:r>
      <w:r>
        <w:rPr>
          <w:rFonts w:ascii="Georgia" w:cs="Georgia" w:eastAsia="Georgia" w:hAnsi="Georgia"/>
          <w:sz w:val="22"/>
          <w:szCs w:val="22"/>
        </w:rPr>
        <w:t xml:space="preserve">Paraconsistent Consensus formalizes recursive mentor-mentee learning over BlockDAG checkpoints. The Mentorship Protocol provides organizational learning theory grounding.</w:t>
      </w:r>
    </w:p>
    <w:p>
      <w:pPr>
        <w:spacing w:after="120" w:line="276"/>
        <w:jc w:val="both"/>
      </w:pPr>
      <w:r>
        <w:rPr>
          <w:rFonts w:ascii="Georgia" w:cs="Georgia" w:eastAsia="Georgia" w:hAnsi="Georgia"/>
          <w:b/>
          <w:bCs/>
          <w:sz w:val="22"/>
          <w:szCs w:val="22"/>
        </w:rPr>
        <w:t xml:space="preserve">IV — Engineering Discipline (Building With): </w:t>
      </w:r>
      <w:r>
        <w:rPr>
          <w:rFonts w:ascii="Georgia" w:cs="Georgia" w:eastAsia="Georgia" w:hAnsi="Georgia"/>
          <w:sz w:val="22"/>
          <w:szCs w:val="22"/>
        </w:rPr>
        <w:t xml:space="preserve">Behavioral Issues establishes BDD/Gherkin as methodology for AI agent development.</w:t>
      </w:r>
    </w:p>
    <w:p>
      <w:pPr>
        <w:spacing w:after="120" w:line="276"/>
        <w:jc w:val="both"/>
      </w:pPr>
      <w:r>
        <w:rPr>
          <w:rFonts w:ascii="Georgia" w:cs="Georgia" w:eastAsia="Georgia" w:hAnsi="Georgia"/>
          <w:b/>
          <w:bCs/>
          <w:sz w:val="22"/>
          <w:szCs w:val="22"/>
        </w:rPr>
        <w:t xml:space="preserve">V — Hardware (With What): </w:t>
      </w:r>
      <w:r>
        <w:rPr>
          <w:rFonts w:ascii="Georgia" w:cs="Georgia" w:eastAsia="Georgia" w:hAnsi="Georgia"/>
          <w:sz w:val="22"/>
          <w:szCs w:val="22"/>
        </w:rPr>
        <w:t xml:space="preserve">ATIS proposes analog pre-filtering of transformer attention via FPAA hardware.</w:t>
      </w:r>
    </w:p>
    <w:p>
      <w:pPr>
        <w:spacing w:after="120" w:line="276"/>
        <w:jc w:val="both"/>
      </w:pPr>
      <w:r>
        <w:rPr>
          <w:rFonts w:ascii="Georgia" w:cs="Georgia" w:eastAsia="Georgia" w:hAnsi="Georgia"/>
          <w:b/>
          <w:bCs/>
          <w:sz w:val="22"/>
          <w:szCs w:val="22"/>
        </w:rPr>
        <w:t xml:space="preserve">VI — Bridge (Connecting): </w:t>
      </w:r>
      <w:r>
        <w:rPr>
          <w:rFonts w:ascii="Georgia" w:cs="Georgia" w:eastAsia="Georgia" w:hAnsi="Georgia"/>
          <w:sz w:val="22"/>
          <w:szCs w:val="22"/>
        </w:rPr>
        <w:t xml:space="preserve">The Memetic Money Portal. ERC-6551 bridge where the fundraise IS the infrastructure.</w:t>
      </w:r>
    </w:p>
    <w:p>
      <w:pPr>
        <w:spacing w:after="120" w:line="276"/>
        <w:jc w:val="both"/>
      </w:pPr>
      <w:r>
        <w:rPr>
          <w:rFonts w:ascii="Georgia" w:cs="Georgia" w:eastAsia="Georgia" w:hAnsi="Georgia"/>
          <w:b/>
          <w:bCs/>
          <w:sz w:val="22"/>
          <w:szCs w:val="22"/>
        </w:rPr>
        <w:t xml:space="preserve">VII–VIII — Society (For Whom): </w:t>
      </w:r>
      <w:r>
        <w:rPr>
          <w:rFonts w:ascii="Georgia" w:cs="Georgia" w:eastAsia="Georgia" w:hAnsi="Georgia"/>
          <w:sz w:val="22"/>
          <w:szCs w:val="22"/>
        </w:rPr>
        <w:t xml:space="preserve">The Mozi Cooperative proposes cooperative economics. The BR1J Constitution establishes DAO governance under Wyoming law.</w:t>
      </w:r>
    </w:p>
    <w:p>
      <w:pPr>
        <w:spacing w:after="120" w:line="276"/>
        <w:jc w:val="both"/>
      </w:pPr>
      <w:r>
        <w:rPr>
          <w:rFonts w:ascii="Georgia" w:cs="Georgia" w:eastAsia="Georgia" w:hAnsi="Georgia"/>
          <w:b/>
          <w:bCs/>
          <w:sz w:val="22"/>
          <w:szCs w:val="22"/>
        </w:rPr>
        <w:t xml:space="preserve">IX — Inspiration (Why): </w:t>
      </w:r>
      <w:r>
        <w:rPr>
          <w:rFonts w:ascii="Georgia" w:cs="Georgia" w:eastAsia="Georgia" w:hAnsi="Georgia"/>
          <w:sz w:val="22"/>
          <w:szCs w:val="22"/>
        </w:rPr>
        <w:t xml:space="preserve">The Medusa Paradigm. Eight design principles from cnidarian biology. The root document—placed last so engineering stands on its own first.</w:t>
      </w:r>
    </w:p>
    <w:p>
      <w:r>
        <w:br w:type="page"/>
      </w:r>
    </w:p>
    <w:p>
      <w:pPr>
        <w:pStyle w:val="Heading1"/>
        <w:spacing w:before="300" w:after="150"/>
      </w:pPr>
      <w:r>
        <w:rPr>
          <w:rFonts w:ascii="Georgia" w:cs="Georgia" w:eastAsia="Georgia" w:hAnsi="Georgia"/>
        </w:rPr>
        <w:t xml:space="preserve">Series Index</w:t>
      </w:r>
    </w:p>
    <w:p>
      <w:pPr>
        <w:spacing w:after="120" w:line="276"/>
        <w:jc w:val="both"/>
      </w:pPr>
      <w:r>
        <w:rPr>
          <w:rFonts w:ascii="Georgia" w:cs="Georgia" w:eastAsia="Georgia" w:hAnsi="Georgia"/>
          <w:sz w:val="22"/>
          <w:szCs w:val="22"/>
        </w:rPr>
        <w:t xml:space="preserve">Colors follow a spectral gradient: green-gold (system) → navy/steel (mechanism) → indigo (methodology) → forest (hardware) → dark gold (bridge) → copper/crimson (society) → violet (inspiration).</w:t>
      </w:r>
    </w:p>
    <w:p>
      <w:pPr>
        <w:spacing w:before="200" w:after="100"/>
      </w:pPr>
      <w:r>
        <w:rPr>
          <w:rFonts w:ascii="Georgia" w:cs="Georgia" w:eastAsia="Georgia" w:hAnsi="Georgia"/>
          <w:b/>
          <w:bCs/>
          <w:i/>
          <w:iCs/>
          <w:sz w:val="20"/>
          <w:szCs w:val="20"/>
        </w:rPr>
        <w:t xml:space="preserve">Table 1. The Gradient Papers Series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400"/>
        <w:gridCol w:w="1160"/>
      </w:tblGrid>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Georgia" w:cs="Georgia" w:eastAsia="Georgia" w:hAnsi="Georgia"/>
                <w:b/>
                <w:bCs/>
                <w:sz w:val="20"/>
                <w:szCs w:val="20"/>
              </w:rPr>
              <w:t xml:space="preserve">No.</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Georgia" w:cs="Georgia" w:eastAsia="Georgia" w:hAnsi="Georgia"/>
                <w:b/>
                <w:bCs/>
                <w:sz w:val="20"/>
                <w:szCs w:val="20"/>
              </w:rPr>
              <w:t xml:space="preserve">Title</w:t>
            </w:r>
          </w:p>
        </w:tc>
        <w:tc>
          <w:tcPr>
            <w:tcW w:type="dxa" w:w="4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Georgia" w:cs="Georgia" w:eastAsia="Georgia" w:hAnsi="Georgia"/>
                <w:b/>
                <w:bCs/>
                <w:sz w:val="20"/>
                <w:szCs w:val="20"/>
              </w:rPr>
              <w:t xml:space="preserve">Core Contribution</w:t>
            </w:r>
          </w:p>
        </w:tc>
        <w:tc>
          <w:tcPr>
            <w:tcW w:type="dxa" w:w="1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Georgia" w:cs="Georgia" w:eastAsia="Georgia" w:hAnsi="Georgia"/>
                <w:b/>
                <w:bCs/>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I</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Citrate Technical Paper</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Complete protocol specification: GhostDAG + BFT, LVM, MCP, SALT</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v2 Complete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II</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Paraconsistent Consensus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Belnap FOUR for federated learning over BlockDAG</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v2 Complete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III</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The Mentorship Protocol</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Organizational learning theory → agent swarm architecture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v2 Complete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IV</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Behavioral Issues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BDD/Gherkin methodology for agentic system development</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v2 Complete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V</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ATIS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Analog token importance scoring via FPAA hardware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v2 Complete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VI</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The Memetic Money Portal</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ERC-6551 bridge: NFTs as infrastructure ownership</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v2 Complete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VII</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The Mozi Cooperative</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Cooperative capitalism for AI infrastructure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v2 Complete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VIII</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The BR1J Constitution</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DAO governance, code of ethics, human-AI symbiosis</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v2 Complete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IX</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The Medusa Paradigm</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8 cnidarian-derived design principles for distributed AI</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v2 Complete</w:t>
            </w:r>
          </w:p>
        </w:tc>
      </w:tr>
    </w:tbl>
    <w:p>
      <w:pPr>
        <w:spacing w:before="200"/>
      </w:pPr>
    </w:p>
    <w:p>
      <w:pPr>
        <w:pStyle w:val="Heading1"/>
        <w:spacing w:before="300" w:after="150"/>
      </w:pPr>
      <w:r>
        <w:rPr>
          <w:rFonts w:ascii="Georgia" w:cs="Georgia" w:eastAsia="Georgia" w:hAnsi="Georgia"/>
        </w:rPr>
        <w:t xml:space="preserve">Shared Protocol Parameters</w:t>
      </w:r>
    </w:p>
    <w:p>
      <w:pPr>
        <w:spacing w:after="120" w:line="276"/>
        <w:jc w:val="both"/>
      </w:pPr>
      <w:r>
        <w:rPr>
          <w:rFonts w:ascii="Georgia" w:cs="Georgia" w:eastAsia="Georgia" w:hAnsi="Georgia"/>
          <w:sz w:val="22"/>
          <w:szCs w:val="22"/>
        </w:rPr>
        <w:t xml:space="preserve">These parameters are consistent across all papers in the series. Any discrepancy between a paper and this table is an error in the paper.</w:t>
      </w:r>
    </w:p>
    <w:p>
      <w:pPr>
        <w:spacing w:before="200" w:after="100"/>
      </w:pPr>
      <w:r>
        <w:rPr>
          <w:rFonts w:ascii="Georgia" w:cs="Georgia" w:eastAsia="Georgia" w:hAnsi="Georgia"/>
          <w:b/>
          <w:bCs/>
          <w:i/>
          <w:iCs/>
          <w:sz w:val="20"/>
          <w:szCs w:val="20"/>
        </w:rPr>
        <w:t xml:space="preserve">Table 2. Canonical Protocol Parameters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560"/>
      </w:tblGrid>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Georgia" w:cs="Georgia" w:eastAsia="Georgia" w:hAnsi="Georgia"/>
                <w:b/>
                <w:bCs/>
                <w:sz w:val="20"/>
                <w:szCs w:val="20"/>
              </w:rPr>
              <w:t xml:space="preserve">Parameter</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Georgia" w:cs="Georgia" w:eastAsia="Georgia" w:hAnsi="Georgia"/>
                <w:b/>
                <w:bCs/>
                <w:sz w:val="20"/>
                <w:szCs w:val="20"/>
              </w:rPr>
              <w:t xml:space="preserve">Canonical Value</w:t>
            </w:r>
          </w:p>
        </w:tc>
        <w:tc>
          <w:tcPr>
            <w:tcW w:type="dxa" w:w="2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Georgia" w:cs="Georgia" w:eastAsia="Georgia" w:hAnsi="Georgia"/>
                <w:b/>
                <w:bCs/>
                <w:sz w:val="20"/>
                <w:szCs w:val="20"/>
              </w:rPr>
              <w:t xml:space="preserve">Defined In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Block time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~0.5 seconds (2 BPS)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Paper I, Section 2.2</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k parameter (GhostDAG)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18</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Paper I, Section 2.2</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Max parents per block</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10 (1 selected + 9 merge)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Paper I, Section 2.2</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BFT committee size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100 validators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Paper I, Section 2.3</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BFT signature threshold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67 (2/3+1)</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Paper I, Section 2.3</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Checkpoint interval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10 blocks (~5 seconds)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Paper I, Section 2.3</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Fraud proof window</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100 blocks (~50 seconds)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Paper I, Section 3.3</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SALT total supply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1,000,000,000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Paper I, Section 5</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SALT distribution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50% mine / 25% eco / 10% treasury / 15% team</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Paper I, Section 5</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Minimum validator stake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10,000 SALT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Paper I, Section 5</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LoRA adapter rank (default)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16</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Paper II, Appendix A2</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Embedding dimension (default)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768, configurable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Paper II, Appendix A2</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Slashing: fraud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50%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Paper I, Section 4</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Slashing: state violations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25%</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Paper I, Section 4</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Slashing: embedding manipulation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10%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Paper II, Section 5.4</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AI precompile addresses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0x1000–0x1004</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Paper I, Table 1</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Kaspa comparison (post-Crescendo)</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10 BPS, 3,585–4,000 TPS, k=124</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Paper I, Section 2.2</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$SNAP fundraise hard cap</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2,000 ETH</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Paper VI, Section 5</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Bridge oracle threshold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2/3 of registered nodes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Paper VI, Section 4.3</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Constitutional amendment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50% quorum, 67% approval, 14-day timelock</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Paper VIII, Section 3.3</w:t>
            </w:r>
          </w:p>
        </w:tc>
      </w:tr>
    </w:tbl>
    <w:p>
      <w:pPr>
        <w:spacing w:before="200"/>
      </w:pPr>
    </w:p>
    <w:p>
      <w:r>
        <w:br w:type="page"/>
      </w:r>
    </w:p>
    <w:p>
      <w:pPr>
        <w:pStyle w:val="Heading1"/>
        <w:spacing w:before="300" w:after="150"/>
      </w:pPr>
      <w:r>
        <w:rPr>
          <w:rFonts w:ascii="Georgia" w:cs="Georgia" w:eastAsia="Georgia" w:hAnsi="Georgia"/>
        </w:rPr>
        <w:t xml:space="preserve">Reading Paths by Audience</w:t>
      </w:r>
    </w:p>
    <w:p>
      <w:pPr>
        <w:spacing w:after="120" w:line="276"/>
        <w:jc w:val="both"/>
      </w:pPr>
      <w:r>
        <w:rPr>
          <w:rFonts w:ascii="Georgia" w:cs="Georgia" w:eastAsia="Georgia" w:hAnsi="Georgia"/>
          <w:b/>
          <w:bCs/>
          <w:sz w:val="22"/>
          <w:szCs w:val="22"/>
        </w:rPr>
        <w:t xml:space="preserve">Engineers: </w:t>
      </w:r>
      <w:r>
        <w:rPr>
          <w:rFonts w:ascii="Georgia" w:cs="Georgia" w:eastAsia="Georgia" w:hAnsi="Georgia"/>
          <w:sz w:val="22"/>
          <w:szCs w:val="22"/>
        </w:rPr>
        <w:t xml:space="preserve">I → IV → II → III → V → VI (system → methodology → consensus → theory → hardware → bridge)</w:t>
      </w:r>
    </w:p>
    <w:p>
      <w:pPr>
        <w:spacing w:after="120" w:line="276"/>
        <w:jc w:val="both"/>
      </w:pPr>
      <w:r>
        <w:rPr>
          <w:rFonts w:ascii="Georgia" w:cs="Georgia" w:eastAsia="Georgia" w:hAnsi="Georgia"/>
          <w:b/>
          <w:bCs/>
          <w:sz w:val="22"/>
          <w:szCs w:val="22"/>
        </w:rPr>
        <w:t xml:space="preserve">Researchers: </w:t>
      </w:r>
      <w:r>
        <w:rPr>
          <w:rFonts w:ascii="Georgia" w:cs="Georgia" w:eastAsia="Georgia" w:hAnsi="Georgia"/>
          <w:sz w:val="22"/>
          <w:szCs w:val="22"/>
        </w:rPr>
        <w:t xml:space="preserve">IX → V → II → III → I (inspiration → hardware → consensus → theory → system)</w:t>
      </w:r>
    </w:p>
    <w:p>
      <w:pPr>
        <w:spacing w:after="120" w:line="276"/>
        <w:jc w:val="both"/>
      </w:pPr>
      <w:r>
        <w:rPr>
          <w:rFonts w:ascii="Georgia" w:cs="Georgia" w:eastAsia="Georgia" w:hAnsi="Georgia"/>
          <w:b/>
          <w:bCs/>
          <w:sz w:val="22"/>
          <w:szCs w:val="22"/>
        </w:rPr>
        <w:t xml:space="preserve">Investors: </w:t>
      </w:r>
      <w:r>
        <w:rPr>
          <w:rFonts w:ascii="Georgia" w:cs="Georgia" w:eastAsia="Georgia" w:hAnsi="Georgia"/>
          <w:sz w:val="22"/>
          <w:szCs w:val="22"/>
        </w:rPr>
        <w:t xml:space="preserve">I → VI → VII → VIII → II (system → fundraise → economics → governance → innovation)</w:t>
      </w:r>
    </w:p>
    <w:p>
      <w:pPr>
        <w:spacing w:after="120" w:line="276"/>
        <w:jc w:val="both"/>
      </w:pPr>
      <w:r>
        <w:rPr>
          <w:rFonts w:ascii="Georgia" w:cs="Georgia" w:eastAsia="Georgia" w:hAnsi="Georgia"/>
          <w:b/>
          <w:bCs/>
          <w:sz w:val="22"/>
          <w:szCs w:val="22"/>
        </w:rPr>
        <w:t xml:space="preserve">Community: </w:t>
      </w:r>
      <w:r>
        <w:rPr>
          <w:rFonts w:ascii="Georgia" w:cs="Georgia" w:eastAsia="Georgia" w:hAnsi="Georgia"/>
          <w:sz w:val="22"/>
          <w:szCs w:val="22"/>
        </w:rPr>
        <w:t xml:space="preserve">VIII → VII → VI → IX → I (governance → economics → bridge → vision → system)</w:t>
      </w:r>
    </w:p>
    <w:p>
      <w:pPr>
        <w:pStyle w:val="Heading1"/>
        <w:spacing w:before="300" w:after="150"/>
      </w:pPr>
      <w:r>
        <w:rPr>
          <w:rFonts w:ascii="Georgia" w:cs="Georgia" w:eastAsia="Georgia" w:hAnsi="Georgia"/>
        </w:rPr>
        <w:t xml:space="preserve">Revision Principles (v2 Series)</w:t>
      </w:r>
    </w:p>
    <w:p>
      <w:pPr>
        <w:spacing w:after="120" w:line="276"/>
        <w:jc w:val="both"/>
      </w:pPr>
      <w:r>
        <w:rPr>
          <w:rFonts w:ascii="Georgia" w:cs="Georgia" w:eastAsia="Georgia" w:hAnsi="Georgia"/>
          <w:sz w:val="22"/>
          <w:szCs w:val="22"/>
        </w:rPr>
        <w:t xml:space="preserve">All nine papers were revised in February 2026 under the following principles:</w:t>
      </w:r>
    </w:p>
    <w:p>
      <w:pPr>
        <w:spacing w:after="120" w:line="276"/>
        <w:jc w:val="both"/>
      </w:pPr>
      <w:r>
        <w:rPr>
          <w:rFonts w:ascii="Georgia" w:cs="Georgia" w:eastAsia="Georgia" w:hAnsi="Georgia"/>
          <w:b/>
          <w:bCs/>
          <w:sz w:val="22"/>
          <w:szCs w:val="22"/>
        </w:rPr>
        <w:t xml:space="preserve">No fabricated statistics. </w:t>
      </w:r>
      <w:r>
        <w:rPr>
          <w:rFonts w:ascii="Georgia" w:cs="Georgia" w:eastAsia="Georgia" w:hAnsi="Georgia"/>
          <w:sz w:val="22"/>
          <w:szCs w:val="22"/>
        </w:rPr>
        <w:t xml:space="preserve">Every number is either measured from a real system or explicitly labeled as a hypothesis with proposed methodology for future validation.</w:t>
      </w:r>
    </w:p>
    <w:p>
      <w:pPr>
        <w:spacing w:after="120" w:line="276"/>
        <w:jc w:val="both"/>
      </w:pPr>
      <w:r>
        <w:rPr>
          <w:rFonts w:ascii="Georgia" w:cs="Georgia" w:eastAsia="Georgia" w:hAnsi="Georgia"/>
          <w:b/>
          <w:bCs/>
          <w:sz w:val="22"/>
          <w:szCs w:val="22"/>
        </w:rPr>
        <w:t xml:space="preserve">No headline claims. </w:t>
      </w:r>
      <w:r>
        <w:rPr>
          <w:rFonts w:ascii="Georgia" w:cs="Georgia" w:eastAsia="Georgia" w:hAnsi="Georgia"/>
          <w:sz w:val="22"/>
          <w:szCs w:val="22"/>
        </w:rPr>
        <w:t xml:space="preserve">Every performance figure survives skeptical review. The original series contained fabricated TPS benchmarks, simulated metrics presented as measured, and scaling projections with no basis. All have been removed.</w:t>
      </w:r>
    </w:p>
    <w:p>
      <w:pPr>
        <w:spacing w:after="120" w:line="276"/>
        <w:jc w:val="both"/>
      </w:pPr>
      <w:r>
        <w:rPr>
          <w:rFonts w:ascii="Georgia" w:cs="Georgia" w:eastAsia="Georgia" w:hAnsi="Georgia"/>
          <w:b/>
          <w:bCs/>
          <w:sz w:val="22"/>
          <w:szCs w:val="22"/>
        </w:rPr>
        <w:t xml:space="preserve">Honest uncertainty. </w:t>
      </w:r>
      <w:r>
        <w:rPr>
          <w:rFonts w:ascii="Georgia" w:cs="Georgia" w:eastAsia="Georgia" w:hAnsi="Georgia"/>
          <w:sz w:val="22"/>
          <w:szCs w:val="22"/>
        </w:rPr>
        <w:t xml:space="preserve">Papers use “observe / hypothesize / propose / future work” language. Implemented features are tagged [Implemented], designed features [Specified], and future work [Planned].</w:t>
      </w:r>
    </w:p>
    <w:p>
      <w:pPr>
        <w:spacing w:after="120" w:line="276"/>
        <w:jc w:val="both"/>
      </w:pPr>
      <w:r>
        <w:rPr>
          <w:rFonts w:ascii="Georgia" w:cs="Georgia" w:eastAsia="Georgia" w:hAnsi="Georgia"/>
          <w:b/>
          <w:bCs/>
          <w:sz w:val="22"/>
          <w:szCs w:val="22"/>
        </w:rPr>
        <w:t xml:space="preserve">Biological inspiration, not authority. </w:t>
      </w:r>
      <w:r>
        <w:rPr>
          <w:rFonts w:ascii="Georgia" w:cs="Georgia" w:eastAsia="Georgia" w:hAnsi="Georgia"/>
          <w:sz w:val="22"/>
          <w:szCs w:val="22"/>
        </w:rPr>
        <w:t xml:space="preserve">The Medusa Paradigm provides design heuristics, not proofs. Formal properties are established through standard distributed systems arguments.</w:t>
      </w:r>
    </w:p>
    <w:p>
      <w:pPr>
        <w:spacing w:after="120" w:line="276"/>
        <w:jc w:val="both"/>
      </w:pPr>
      <w:r>
        <w:rPr>
          <w:rFonts w:ascii="Georgia" w:cs="Georgia" w:eastAsia="Georgia" w:hAnsi="Georgia"/>
          <w:b/>
          <w:bCs/>
          <w:sz w:val="22"/>
          <w:szCs w:val="22"/>
        </w:rPr>
        <w:t xml:space="preserve">Each paper stands alone. </w:t>
      </w:r>
      <w:r>
        <w:rPr>
          <w:rFonts w:ascii="Georgia" w:cs="Georgia" w:eastAsia="Georgia" w:hAnsi="Georgia"/>
          <w:sz w:val="22"/>
          <w:szCs w:val="22"/>
        </w:rPr>
        <w:t xml:space="preserve">Cross-references are provided for context but no paper requires reading another to be understood.</w:t>
      </w:r>
    </w:p>
    <w:p>
      <w:pPr>
        <w:spacing w:after="120" w:line="276"/>
        <w:jc w:val="both"/>
      </w:pPr>
      <w:r>
        <w:rPr>
          <w:rFonts w:ascii="Georgia" w:cs="Georgia" w:eastAsia="Georgia" w:hAnsi="Georgia"/>
          <w:b/>
          <w:bCs/>
          <w:sz w:val="22"/>
          <w:szCs w:val="22"/>
        </w:rPr>
        <w:t xml:space="preserve">Acknowledge prior work. </w:t>
      </w:r>
      <w:r>
        <w:rPr>
          <w:rFonts w:ascii="Georgia" w:cs="Georgia" w:eastAsia="Georgia" w:hAnsi="Georgia"/>
          <w:sz w:val="22"/>
          <w:szCs w:val="22"/>
        </w:rPr>
        <w:t xml:space="preserve">Where previous versions contained fabricated data (explicitly identified in Papers II–III), the revised versions note the correction.</w:t>
      </w:r>
    </w:p>
    <w:p>
      <w:pPr>
        <w:pStyle w:val="Heading1"/>
        <w:spacing w:before="300" w:after="150"/>
      </w:pPr>
      <w:r>
        <w:rPr>
          <w:rFonts w:ascii="Georgia" w:cs="Georgia" w:eastAsia="Georgia" w:hAnsi="Georgia"/>
        </w:rPr>
        <w:t xml:space="preserve">Dependency Map</w:t>
      </w:r>
    </w:p>
    <w:p>
      <w:pPr>
        <w:spacing w:after="120" w:line="276"/>
        <w:jc w:val="both"/>
      </w:pPr>
      <w:r>
        <w:rPr>
          <w:rFonts w:ascii="Georgia" w:cs="Georgia" w:eastAsia="Georgia" w:hAnsi="Georgia"/>
          <w:sz w:val="22"/>
          <w:szCs w:val="22"/>
        </w:rPr>
        <w:t xml:space="preserve">Arrow A → B means “A provides foundations for B.”</w:t>
      </w:r>
    </w:p>
    <w:p>
      <w:pPr>
        <w:spacing w:after="120" w:line="276"/>
        <w:jc w:val="both"/>
      </w:pPr>
      <w:r>
        <w:rPr>
          <w:rFonts w:ascii="Georgia" w:cs="Georgia" w:eastAsia="Georgia" w:hAnsi="Georgia"/>
          <w:sz w:val="22"/>
          <w:szCs w:val="22"/>
        </w:rPr>
        <w:t xml:space="preserve">I (Citrate) → II, III, V, VI, VII, VIII (system spec grounds all applied papers)</w:t>
      </w:r>
    </w:p>
    <w:p>
      <w:pPr>
        <w:spacing w:after="120" w:line="276"/>
        <w:jc w:val="both"/>
      </w:pPr>
      <w:r>
        <w:rPr>
          <w:rFonts w:ascii="Georgia" w:cs="Georgia" w:eastAsia="Georgia" w:hAnsi="Georgia"/>
          <w:sz w:val="22"/>
          <w:szCs w:val="22"/>
        </w:rPr>
        <w:t xml:space="preserve">II (Paraconsensus) → III, V (core learning mechanism)</w:t>
      </w:r>
    </w:p>
    <w:p>
      <w:pPr>
        <w:spacing w:after="120" w:line="276"/>
        <w:jc w:val="both"/>
      </w:pPr>
      <w:r>
        <w:rPr>
          <w:rFonts w:ascii="Georgia" w:cs="Georgia" w:eastAsia="Georgia" w:hAnsi="Georgia"/>
          <w:sz w:val="22"/>
          <w:szCs w:val="22"/>
        </w:rPr>
        <w:t xml:space="preserve">III (Mentorship) → VII (organizational theory → economics)</w:t>
      </w:r>
    </w:p>
    <w:p>
      <w:pPr>
        <w:spacing w:after="120" w:line="276"/>
        <w:jc w:val="both"/>
      </w:pPr>
      <w:r>
        <w:rPr>
          <w:rFonts w:ascii="Georgia" w:cs="Georgia" w:eastAsia="Georgia" w:hAnsi="Georgia"/>
          <w:sz w:val="22"/>
          <w:szCs w:val="22"/>
        </w:rPr>
        <w:t xml:space="preserve">IV (BDD) → independent (engineering methodology, applicable to all)</w:t>
      </w:r>
    </w:p>
    <w:p>
      <w:pPr>
        <w:spacing w:after="120" w:line="276"/>
        <w:jc w:val="both"/>
      </w:pPr>
      <w:r>
        <w:rPr>
          <w:rFonts w:ascii="Georgia" w:cs="Georgia" w:eastAsia="Georgia" w:hAnsi="Georgia"/>
          <w:sz w:val="22"/>
          <w:szCs w:val="22"/>
        </w:rPr>
        <w:t xml:space="preserve">V (ATIS) → independent (hardware research layer)</w:t>
      </w:r>
    </w:p>
    <w:p>
      <w:pPr>
        <w:spacing w:after="120" w:line="276"/>
        <w:jc w:val="both"/>
      </w:pPr>
      <w:r>
        <w:rPr>
          <w:rFonts w:ascii="Georgia" w:cs="Georgia" w:eastAsia="Georgia" w:hAnsi="Georgia"/>
          <w:sz w:val="22"/>
          <w:szCs w:val="22"/>
        </w:rPr>
        <w:t xml:space="preserve">VI (Bridge) → VII, VIII (funding/bridge → economics + governance)</w:t>
      </w:r>
    </w:p>
    <w:p>
      <w:pPr>
        <w:spacing w:after="120" w:line="276"/>
        <w:jc w:val="both"/>
      </w:pPr>
      <w:r>
        <w:rPr>
          <w:rFonts w:ascii="Georgia" w:cs="Georgia" w:eastAsia="Georgia" w:hAnsi="Georgia"/>
          <w:sz w:val="22"/>
          <w:szCs w:val="22"/>
        </w:rPr>
        <w:t xml:space="preserve">VII (Mozi) → VIII (economic philosophy → governance)</w:t>
      </w:r>
    </w:p>
    <w:p>
      <w:pPr>
        <w:spacing w:after="120" w:line="276"/>
        <w:jc w:val="both"/>
      </w:pPr>
      <w:r>
        <w:rPr>
          <w:rFonts w:ascii="Georgia" w:cs="Georgia" w:eastAsia="Georgia" w:hAnsi="Georgia"/>
          <w:sz w:val="22"/>
          <w:szCs w:val="22"/>
        </w:rPr>
        <w:t xml:space="preserve">VIII (BR1J) → capstone (references all prior)</w:t>
      </w:r>
    </w:p>
    <w:p>
      <w:pPr>
        <w:spacing w:after="120" w:line="276"/>
        <w:jc w:val="both"/>
      </w:pPr>
      <w:r>
        <w:rPr>
          <w:rFonts w:ascii="Georgia" w:cs="Georgia" w:eastAsia="Georgia" w:hAnsi="Georgia"/>
          <w:sz w:val="22"/>
          <w:szCs w:val="22"/>
        </w:rPr>
        <w:t xml:space="preserve">IX (Medusa) → conceptual root (inspiration for all, but placed last)</w:t>
      </w:r>
    </w:p>
    <w:p>
      <w:pPr>
        <w:spacing w:before="400"/>
        <w:jc w:val="center"/>
      </w:pPr>
      <w:r>
        <w:rPr>
          <w:rFonts w:ascii="Georgia" w:cs="Georgia" w:eastAsia="Georgia" w:hAnsi="Georgia"/>
          <w:color w:val="666666"/>
          <w:sz w:val="20"/>
          <w:szCs w:val="20"/>
        </w:rPr>
        <w:t xml:space="preserve">───</w:t>
      </w:r>
    </w:p>
    <w:p>
      <w:pPr>
        <w:spacing w:before="200"/>
        <w:jc w:val="center"/>
      </w:pPr>
      <w:r>
        <w:rPr>
          <w:rFonts w:ascii="Georgia" w:cs="Georgia" w:eastAsia="Georgia" w:hAnsi="Georgia"/>
          <w:i/>
          <w:iCs/>
          <w:color w:val="666666"/>
          <w:sz w:val="20"/>
          <w:szCs w:val="20"/>
        </w:rPr>
        <w:t xml:space="preserve">The Gradient Papers are published by the Cnidarian Foundation.</w:t>
      </w:r>
    </w:p>
    <w:p>
      <w:pPr>
        <w:jc w:val="center"/>
      </w:pPr>
      <w:r>
        <w:rPr>
          <w:rFonts w:ascii="Georgia" w:cs="Georgia" w:eastAsia="Georgia" w:hAnsi="Georgia"/>
          <w:color w:val="666666"/>
          <w:sz w:val="20"/>
          <w:szCs w:val="20"/>
        </w:rPr>
        <w:t xml:space="preserve">Correspondence: larry@cnidarianfoundation.org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Cnidarian Foundation • Working Paper • February 2026 • 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666666"/>
        <w:sz w:val="18"/>
        <w:szCs w:val="18"/>
      </w:rPr>
      <w:t xml:space="preserve">The Gradient Papers — Series Index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Georgia" w:cs="Georgia" w:eastAsia="Georgia" w:hAnsi="Georgia"/>
      <w:b/>
      <w:bCs/>
      <w:color w:val="1B3A5C"/>
      <w:sz w:val="30"/>
      <w:szCs w:val="30"/>
    </w:rPr>
  </w:style>
  <w:style w:type="paragraph" w:styleId="Heading2">
    <w:name w:val="Heading 2"/>
    <w:basedOn w:val="Normal"/>
    <w:next w:val="Normal"/>
    <w:qFormat/>
    <w:pPr>
      <w:spacing w:before="240" w:after="120"/>
      <w:outlineLvl w:val="1"/>
    </w:pPr>
    <w:rPr>
      <w:rFonts w:ascii="Georgia" w:cs="Georgia" w:eastAsia="Georgia" w:hAnsi="Georgia"/>
      <w:b/>
      <w:bCs/>
      <w:color w:val="4A7C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2026-03-01T01:04:27.647Z</dcterms:created>
  <dcterms:modified xsi:type="dcterms:W3CDTF">2026-03-01T01:04:27.647Z</dcterms:modified>
</cp:coreProperties>
</file>

<file path=docProps/custom.xml><?xml version="1.0" encoding="utf-8"?>
<Properties xmlns="http://schemas.openxmlformats.org/officeDocument/2006/custom-properties" xmlns:vt="http://schemas.openxmlformats.org/officeDocument/2006/docPropsVTypes"/>
</file>