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5781" w:rsidRDefault="00000000" w14:paraId="4B6260C1" w14:textId="77777777">
      <w:pPr>
        <w:pStyle w:val="TitleCustom"/>
      </w:pPr>
      <w:r>
        <w:t>Data Lakehouse Phase 1</w:t>
      </w:r>
      <w:r>
        <w:br/>
      </w:r>
      <w:r>
        <w:t>Execution Plan</w:t>
      </w:r>
    </w:p>
    <w:p w:rsidR="00E65781" w:rsidRDefault="00000000" w14:paraId="1826AE7F" w14:textId="77777777">
      <w:pPr>
        <w:pStyle w:val="SubtitleCustom"/>
      </w:pPr>
      <w:r>
        <w:t>Prepared for COO, CFO, Chief Legal Officer, IT Leadership, and Program Owners</w:t>
      </w:r>
      <w:r>
        <w:br/>
      </w:r>
      <w:r>
        <w:t>March 11, 2026</w:t>
      </w:r>
    </w:p>
    <w:tbl>
      <w:tblPr>
        <w:tblW w:w="0" w:type="auto"/>
        <w:jc w:val="center"/>
        <w:tblLayout w:type="fixed"/>
        <w:tblLook w:val="04A0" w:firstRow="1" w:lastRow="0" w:firstColumn="1" w:lastColumn="0" w:noHBand="0" w:noVBand="1"/>
      </w:tblPr>
      <w:tblGrid>
        <w:gridCol w:w="2448"/>
        <w:gridCol w:w="8496"/>
      </w:tblGrid>
      <w:tr w:rsidR="00E65781" w:rsidTr="4470C3DB" w14:paraId="30ACD07B" w14:textId="77777777">
        <w:trPr>
          <w:jc w:val="center"/>
        </w:trPr>
        <w:tc>
          <w:tcPr>
            <w:tcW w:w="2448" w:type="dxa"/>
            <w:tcBorders>
              <w:top w:val="single" w:color="B4C7E7" w:sz="8" w:space="0"/>
              <w:left w:val="single" w:color="B4C7E7" w:sz="8" w:space="0"/>
              <w:bottom w:val="single" w:color="B4C7E7" w:sz="8" w:space="0"/>
              <w:right w:val="single" w:color="B4C7E7" w:sz="8" w:space="0"/>
            </w:tcBorders>
            <w:shd w:val="clear" w:color="auto" w:fill="1F4E79"/>
            <w:tcMar/>
            <w:vAlign w:val="center"/>
          </w:tcPr>
          <w:p w:rsidR="00E65781" w:rsidRDefault="00000000" w14:paraId="1F010492" w14:textId="77777777">
            <w:pPr>
              <w:jc w:val="center"/>
            </w:pPr>
            <w:r>
              <w:rPr>
                <w:b/>
                <w:color w:val="FFFFFF"/>
                <w:sz w:val="19"/>
              </w:rPr>
              <w:t>Plan item</w:t>
            </w:r>
          </w:p>
        </w:tc>
        <w:tc>
          <w:tcPr>
            <w:tcW w:w="8496" w:type="dxa"/>
            <w:tcBorders>
              <w:top w:val="single" w:color="B4C7E7" w:sz="8" w:space="0"/>
              <w:left w:val="single" w:color="B4C7E7" w:sz="8" w:space="0"/>
              <w:bottom w:val="single" w:color="B4C7E7" w:sz="8" w:space="0"/>
              <w:right w:val="single" w:color="B4C7E7" w:sz="8" w:space="0"/>
            </w:tcBorders>
            <w:shd w:val="clear" w:color="auto" w:fill="1F4E79"/>
            <w:tcMar/>
            <w:vAlign w:val="center"/>
          </w:tcPr>
          <w:p w:rsidR="00E65781" w:rsidRDefault="00000000" w14:paraId="051924FE" w14:textId="77777777">
            <w:pPr>
              <w:jc w:val="center"/>
            </w:pPr>
            <w:r>
              <w:rPr>
                <w:b/>
                <w:color w:val="FFFFFF"/>
                <w:sz w:val="19"/>
              </w:rPr>
              <w:t>Definition</w:t>
            </w:r>
          </w:p>
        </w:tc>
      </w:tr>
      <w:tr w:rsidR="00E65781" w:rsidTr="4470C3DB" w14:paraId="65710EAE" w14:textId="77777777">
        <w:trPr>
          <w:jc w:val="center"/>
        </w:trPr>
        <w:tc>
          <w:tcPr>
            <w:tcW w:w="2448"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70C6DEF7" w14:textId="77777777">
            <w:pPr>
              <w:pStyle w:val="BodyCustom"/>
            </w:pPr>
            <w:r>
              <w:t>Objective</w:t>
            </w:r>
          </w:p>
        </w:tc>
        <w:tc>
          <w:tcPr>
            <w:tcW w:w="8496"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1864933B" w14:textId="77777777">
            <w:pPr>
              <w:pStyle w:val="BodyCustom"/>
            </w:pPr>
            <w:r>
              <w:t>Stand up a governed operational insight layer using only ADT, claims, and eligibility roster data. Phase 1 is complete when trusted outputs are in use, not when a broad platform build is finished.</w:t>
            </w:r>
          </w:p>
        </w:tc>
      </w:tr>
      <w:tr w:rsidR="00E65781" w:rsidTr="4470C3DB" w14:paraId="4FE34B03" w14:textId="77777777">
        <w:trPr>
          <w:jc w:val="center"/>
        </w:trPr>
        <w:tc>
          <w:tcPr>
            <w:tcW w:w="2448"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3D4D17A8" w14:textId="77777777">
            <w:pPr>
              <w:pStyle w:val="BodyCustom"/>
            </w:pPr>
            <w:r>
              <w:t>Commitment</w:t>
            </w:r>
          </w:p>
        </w:tc>
        <w:tc>
          <w:tcPr>
            <w:tcW w:w="8496"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519157D4" w14:textId="51856159">
            <w:pPr>
              <w:pStyle w:val="BodyCustom"/>
            </w:pPr>
            <w:r w:rsidR="00000000">
              <w:rPr/>
              <w:t xml:space="preserve">By </w:t>
            </w:r>
            <w:r w:rsidR="4373A9E7">
              <w:rPr/>
              <w:t>mid-May</w:t>
            </w:r>
            <w:r w:rsidR="00000000">
              <w:rPr/>
              <w:t xml:space="preserve"> 2026, deliver four production outputs supported by defined owners, refresh schedules, reconciliation controls, and a clear handoff from the outsourced team to internal IT, analytics, and business owners.</w:t>
            </w:r>
          </w:p>
        </w:tc>
      </w:tr>
    </w:tbl>
    <w:p w:rsidR="00E65781" w:rsidRDefault="00E65781" w14:paraId="5DC19A9D" w14:textId="77777777"/>
    <w:p w:rsidR="00E65781" w:rsidRDefault="00000000" w14:paraId="675561C8" w14:textId="77777777">
      <w:pPr>
        <w:pStyle w:val="SectionCustom"/>
      </w:pPr>
      <w:r>
        <w:t>1. Purpose and scope</w:t>
      </w:r>
    </w:p>
    <w:p w:rsidR="00E65781" w:rsidRDefault="00000000" w14:paraId="5195334F" w14:textId="77777777">
      <w:pPr>
        <w:pStyle w:val="BodyCustom"/>
      </w:pPr>
      <w:r>
        <w:t>This document defines the executable Phase 1 plan for the Data Lakehouse workstream. It is written for internal turnover and decision making. It does not re sell the program. It clarifies what Phase 1 will deliver, what it will not deliver, what internal resources are required, and how the outsourced team will transfer knowledge while helping internal teams understand the current state and move the first operating layer into production.</w:t>
      </w:r>
    </w:p>
    <w:p w:rsidR="00E65781" w:rsidRDefault="00000000" w14:paraId="63DE4EFD" w14:textId="77777777">
      <w:pPr>
        <w:pStyle w:val="BodyCustom"/>
      </w:pPr>
      <w:r>
        <w:t>Phase 1 scope is intentionally limited to three source domains: ADT, claims, and eligibility rosters. No additional data domains are required for Phase 1.</w:t>
      </w:r>
    </w:p>
    <w:p w:rsidR="00E65781" w:rsidRDefault="00000000" w14:paraId="62893253" w14:textId="77777777">
      <w:pPr>
        <w:pStyle w:val="SectionCustom"/>
      </w:pPr>
      <w:r>
        <w:t>2. Phase 1 outcome</w:t>
      </w:r>
    </w:p>
    <w:p w:rsidR="00E65781" w:rsidRDefault="00000000" w14:paraId="445C8201" w14:textId="77777777">
      <w:pPr>
        <w:pStyle w:val="SubsectionCustom"/>
      </w:pPr>
      <w:r>
        <w:t>Phase 1 is complete when all of the following are true</w:t>
      </w:r>
    </w:p>
    <w:p w:rsidR="00E65781" w:rsidRDefault="00000000" w14:paraId="2BF430C3" w14:textId="77777777">
      <w:pPr>
        <w:pStyle w:val="BulletCustom"/>
        <w:ind w:left="360" w:hanging="259"/>
      </w:pPr>
      <w:r>
        <w:rPr>
          <w:b/>
        </w:rPr>
        <w:t xml:space="preserve">• </w:t>
      </w:r>
      <w:r>
        <w:t>Four production outputs are live and available to named business and operational owners.</w:t>
      </w:r>
    </w:p>
    <w:p w:rsidR="00E65781" w:rsidRDefault="00000000" w14:paraId="51FF7EDB" w14:textId="77777777">
      <w:pPr>
        <w:pStyle w:val="BulletCustom"/>
        <w:ind w:left="360" w:hanging="259"/>
      </w:pPr>
      <w:r>
        <w:rPr>
          <w:b/>
        </w:rPr>
        <w:t xml:space="preserve">• </w:t>
      </w:r>
      <w:r>
        <w:t>Each output uses only ADT, claims, and eligibility roster data.</w:t>
      </w:r>
    </w:p>
    <w:p w:rsidR="00E65781" w:rsidRDefault="00000000" w14:paraId="51B2857A" w14:textId="77777777">
      <w:pPr>
        <w:pStyle w:val="BulletCustom"/>
        <w:ind w:left="360" w:hanging="259"/>
      </w:pPr>
      <w:r>
        <w:rPr>
          <w:b/>
        </w:rPr>
        <w:t xml:space="preserve">• </w:t>
      </w:r>
      <w:r>
        <w:t>Refresh cadence, ownership, and reconciliation rules are documented and operating.</w:t>
      </w:r>
    </w:p>
    <w:p w:rsidR="00E65781" w:rsidRDefault="00000000" w14:paraId="48B78511" w14:textId="77777777">
      <w:pPr>
        <w:pStyle w:val="BulletCustom"/>
        <w:ind w:left="360" w:hanging="259"/>
      </w:pPr>
      <w:r>
        <w:rPr>
          <w:b/>
        </w:rPr>
        <w:t xml:space="preserve">• </w:t>
      </w:r>
      <w:r>
        <w:t>Internal teams can explain the current state data flow, transformation logic, quality checks, and support model without dependence on the outsourced team for basic understanding.</w:t>
      </w:r>
    </w:p>
    <w:p w:rsidR="00E65781" w:rsidRDefault="00000000" w14:paraId="4378BEA8" w14:textId="77777777">
      <w:pPr>
        <w:pStyle w:val="BulletCustom"/>
        <w:ind w:left="360" w:hanging="259"/>
      </w:pPr>
      <w:r>
        <w:rPr>
          <w:b/>
        </w:rPr>
        <w:t xml:space="preserve">• </w:t>
      </w:r>
      <w:r>
        <w:t>An agreed backlog exists for deferred work, Phase 1.5 hardening, and later source expansion.</w:t>
      </w:r>
    </w:p>
    <w:p w:rsidR="00E65781" w:rsidRDefault="00000000" w14:paraId="0A3718F0" w14:textId="77777777">
      <w:pPr>
        <w:pStyle w:val="SubsectionCustom"/>
      </w:pPr>
      <w:r>
        <w:t>Phase 1 production outputs</w:t>
      </w:r>
    </w:p>
    <w:tbl>
      <w:tblPr>
        <w:tblW w:w="0" w:type="auto"/>
        <w:jc w:val="center"/>
        <w:tblLayout w:type="fixed"/>
        <w:tblLook w:val="04A0" w:firstRow="1" w:lastRow="0" w:firstColumn="1" w:lastColumn="0" w:noHBand="0" w:noVBand="1"/>
      </w:tblPr>
      <w:tblGrid>
        <w:gridCol w:w="2160"/>
        <w:gridCol w:w="3456"/>
        <w:gridCol w:w="3024"/>
        <w:gridCol w:w="2304"/>
      </w:tblGrid>
      <w:tr w:rsidR="00E65781" w14:paraId="26A8B765" w14:textId="77777777">
        <w:trPr>
          <w:jc w:val="center"/>
        </w:trPr>
        <w:tc>
          <w:tcPr>
            <w:tcW w:w="2160"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EC463DC" w14:textId="77777777">
            <w:pPr>
              <w:jc w:val="center"/>
            </w:pPr>
            <w:r>
              <w:rPr>
                <w:b/>
                <w:color w:val="FFFFFF"/>
                <w:sz w:val="19"/>
              </w:rPr>
              <w:t>Output</w:t>
            </w:r>
          </w:p>
        </w:tc>
        <w:tc>
          <w:tcPr>
            <w:tcW w:w="3456"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4F37E35C" w14:textId="77777777">
            <w:pPr>
              <w:jc w:val="center"/>
            </w:pPr>
            <w:r>
              <w:rPr>
                <w:b/>
                <w:color w:val="FFFFFF"/>
                <w:sz w:val="19"/>
              </w:rPr>
              <w:t>Business use</w:t>
            </w:r>
          </w:p>
        </w:tc>
        <w:tc>
          <w:tcPr>
            <w:tcW w:w="302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E1A249A" w14:textId="77777777">
            <w:pPr>
              <w:jc w:val="center"/>
            </w:pPr>
            <w:r>
              <w:rPr>
                <w:b/>
                <w:color w:val="FFFFFF"/>
                <w:sz w:val="19"/>
              </w:rPr>
              <w:t>Data required</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BFAFC2A" w14:textId="77777777">
            <w:pPr>
              <w:jc w:val="center"/>
            </w:pPr>
            <w:r>
              <w:rPr>
                <w:b/>
                <w:color w:val="FFFFFF"/>
                <w:sz w:val="19"/>
              </w:rPr>
              <w:t>Owner</w:t>
            </w:r>
          </w:p>
        </w:tc>
      </w:tr>
      <w:tr w:rsidR="00E65781" w14:paraId="0322394B" w14:textId="77777777">
        <w:trPr>
          <w:jc w:val="center"/>
        </w:trPr>
        <w:tc>
          <w:tcPr>
            <w:tcW w:w="216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19052E4" w14:textId="77777777">
            <w:pPr>
              <w:pStyle w:val="BodyCustom"/>
              <w:jc w:val="center"/>
            </w:pPr>
            <w:r>
              <w:t>Acute Event Command View</w:t>
            </w:r>
          </w:p>
        </w:tc>
        <w:tc>
          <w:tcPr>
            <w:tcW w:w="34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8C8CD52" w14:textId="77777777">
            <w:pPr>
              <w:pStyle w:val="BodyCustom"/>
            </w:pPr>
            <w:r>
              <w:t>Daily view of admissions, discharges, and ED events requiring operational awareness and prioritization.</w:t>
            </w:r>
          </w:p>
        </w:tc>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A798A20" w14:textId="77777777">
            <w:pPr>
              <w:pStyle w:val="BodyCustom"/>
            </w:pPr>
            <w:r>
              <w:t>ADT plus current eligibility match</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3B49E1B" w14:textId="77777777">
            <w:pPr>
              <w:pStyle w:val="BodyCustom"/>
              <w:jc w:val="center"/>
            </w:pPr>
            <w:r>
              <w:t>Operations owner</w:t>
            </w:r>
          </w:p>
        </w:tc>
      </w:tr>
      <w:tr w:rsidR="00E65781" w14:paraId="7910DA09" w14:textId="77777777">
        <w:trPr>
          <w:jc w:val="center"/>
        </w:trPr>
        <w:tc>
          <w:tcPr>
            <w:tcW w:w="216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2FCB0A9" w14:textId="77777777">
            <w:pPr>
              <w:pStyle w:val="BodyCustom"/>
              <w:jc w:val="center"/>
            </w:pPr>
            <w:r>
              <w:t xml:space="preserve">Transition of Care </w:t>
            </w:r>
            <w:r>
              <w:t>Action Layer</w:t>
            </w:r>
          </w:p>
        </w:tc>
        <w:tc>
          <w:tcPr>
            <w:tcW w:w="34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3122900" w14:textId="77777777">
            <w:pPr>
              <w:pStyle w:val="BodyCustom"/>
            </w:pPr>
            <w:r>
              <w:t xml:space="preserve">Workable output for attributed members with recent acute events </w:t>
            </w:r>
            <w:r>
              <w:t>requiring follow up.</w:t>
            </w:r>
          </w:p>
        </w:tc>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ABBBB2B" w14:textId="77777777">
            <w:pPr>
              <w:pStyle w:val="BodyCustom"/>
            </w:pPr>
            <w:r>
              <w:t xml:space="preserve">ADT, eligibility, and selected </w:t>
            </w:r>
            <w:r>
              <w:t>claims context where needed</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F08361C" w14:textId="77777777">
            <w:pPr>
              <w:pStyle w:val="BodyCustom"/>
              <w:jc w:val="center"/>
            </w:pPr>
            <w:r>
              <w:t xml:space="preserve">Clinical operations </w:t>
            </w:r>
            <w:r>
              <w:t>owner</w:t>
            </w:r>
          </w:p>
        </w:tc>
      </w:tr>
      <w:tr w:rsidR="00E65781" w14:paraId="4B076503" w14:textId="77777777">
        <w:trPr>
          <w:jc w:val="center"/>
        </w:trPr>
        <w:tc>
          <w:tcPr>
            <w:tcW w:w="216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68993DE" w14:textId="77777777">
            <w:pPr>
              <w:pStyle w:val="BodyCustom"/>
              <w:jc w:val="center"/>
            </w:pPr>
            <w:r>
              <w:t>High Utilization and Cost Pressure View</w:t>
            </w:r>
          </w:p>
        </w:tc>
        <w:tc>
          <w:tcPr>
            <w:tcW w:w="34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6FA6438" w14:textId="77777777">
            <w:pPr>
              <w:pStyle w:val="BodyCustom"/>
            </w:pPr>
            <w:r>
              <w:t>Current attributed members with recent inpatient, repeat ED, or high cost patterns.</w:t>
            </w:r>
          </w:p>
        </w:tc>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E39781" w14:textId="77777777">
            <w:pPr>
              <w:pStyle w:val="BodyCustom"/>
            </w:pPr>
            <w:r>
              <w:t>Claims plus current eligibility</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C37FD91" w14:textId="77777777">
            <w:pPr>
              <w:pStyle w:val="BodyCustom"/>
              <w:jc w:val="center"/>
            </w:pPr>
            <w:r>
              <w:t>Finance and operations owner</w:t>
            </w:r>
          </w:p>
        </w:tc>
      </w:tr>
      <w:tr w:rsidR="00E65781" w14:paraId="2C90A1CE" w14:textId="77777777">
        <w:trPr>
          <w:jc w:val="center"/>
        </w:trPr>
        <w:tc>
          <w:tcPr>
            <w:tcW w:w="216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5BB0CE9" w14:textId="77777777">
            <w:pPr>
              <w:pStyle w:val="BodyCustom"/>
              <w:jc w:val="center"/>
            </w:pPr>
            <w:r>
              <w:t>Data Quality and Reconciliation Control Layer</w:t>
            </w:r>
          </w:p>
        </w:tc>
        <w:tc>
          <w:tcPr>
            <w:tcW w:w="34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3EB4B45" w14:textId="77777777">
            <w:pPr>
              <w:pStyle w:val="BodyCustom"/>
            </w:pPr>
            <w:r>
              <w:t>Visibility into stale feeds, unmatched records, roster gaps, and output trust issues.</w:t>
            </w:r>
          </w:p>
        </w:tc>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B35CE0" w14:textId="77777777">
            <w:pPr>
              <w:pStyle w:val="BodyCustom"/>
            </w:pPr>
            <w:r>
              <w:t>ADT, claims, eligibility, and transformation checks</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FFEC9CD" w14:textId="77777777">
            <w:pPr>
              <w:pStyle w:val="BodyCustom"/>
              <w:jc w:val="center"/>
            </w:pPr>
            <w:r>
              <w:t>IT and analytics owner</w:t>
            </w:r>
          </w:p>
        </w:tc>
      </w:tr>
    </w:tbl>
    <w:p w:rsidR="00E65781" w:rsidRDefault="00E65781" w14:paraId="439C17A1" w14:textId="77777777"/>
    <w:p w:rsidR="00E65781" w:rsidRDefault="00000000" w14:paraId="56435361" w14:textId="77777777">
      <w:pPr>
        <w:pStyle w:val="SectionCustom"/>
      </w:pPr>
      <w:r>
        <w:t>3. Out of scope</w:t>
      </w:r>
    </w:p>
    <w:p w:rsidR="00E65781" w:rsidRDefault="00000000" w14:paraId="6FE28C8C" w14:textId="77777777">
      <w:pPr>
        <w:pStyle w:val="BulletCustom"/>
        <w:ind w:left="360" w:hanging="259"/>
      </w:pPr>
      <w:r>
        <w:rPr>
          <w:b/>
        </w:rPr>
        <w:t xml:space="preserve">• </w:t>
      </w:r>
      <w:r>
        <w:t>Any new source onboarding beyond ADT, claims, and eligibility rosters.</w:t>
      </w:r>
    </w:p>
    <w:p w:rsidR="00E65781" w:rsidRDefault="00000000" w14:paraId="6136CEAB" w14:textId="7FA57865">
      <w:pPr>
        <w:pStyle w:val="BulletCustom"/>
        <w:ind w:left="360" w:hanging="259"/>
      </w:pPr>
      <w:r w:rsidRPr="6635DB2F" w:rsidR="00000000">
        <w:rPr>
          <w:b w:val="1"/>
          <w:bCs w:val="1"/>
        </w:rPr>
        <w:t xml:space="preserve">• </w:t>
      </w:r>
      <w:r w:rsidR="73B05644">
        <w:rPr/>
        <w:t>Enterprise-wide</w:t>
      </w:r>
      <w:r w:rsidR="00000000">
        <w:rPr/>
        <w:t xml:space="preserve"> </w:t>
      </w:r>
      <w:r w:rsidR="00000000">
        <w:rPr/>
        <w:t>canonical</w:t>
      </w:r>
      <w:r w:rsidR="00000000">
        <w:rPr/>
        <w:t xml:space="preserve"> modeling beyond what is needed to support the four Phase 1 outputs.</w:t>
      </w:r>
    </w:p>
    <w:p w:rsidR="00E65781" w:rsidRDefault="00000000" w14:paraId="0EA3610C" w14:textId="77777777">
      <w:pPr>
        <w:pStyle w:val="BulletCustom"/>
        <w:ind w:left="360" w:hanging="259"/>
      </w:pPr>
      <w:r>
        <w:rPr>
          <w:b/>
        </w:rPr>
        <w:t xml:space="preserve">• </w:t>
      </w:r>
      <w:r>
        <w:t>Historical backfill beyond the minimum required to make the outputs useful.</w:t>
      </w:r>
    </w:p>
    <w:p w:rsidR="00E65781" w:rsidRDefault="00000000" w14:paraId="2CCEC48E" w14:textId="77777777">
      <w:pPr>
        <w:pStyle w:val="BulletCustom"/>
        <w:ind w:left="360" w:hanging="259"/>
      </w:pPr>
      <w:r>
        <w:rPr>
          <w:b/>
        </w:rPr>
        <w:t xml:space="preserve">• </w:t>
      </w:r>
      <w:r>
        <w:t>Generic ingestion framework buildout for future sources.</w:t>
      </w:r>
    </w:p>
    <w:p w:rsidR="00E65781" w:rsidRDefault="00000000" w14:paraId="13574219" w14:textId="77777777">
      <w:pPr>
        <w:pStyle w:val="BulletCustom"/>
        <w:ind w:left="360" w:hanging="259"/>
      </w:pPr>
      <w:r>
        <w:rPr>
          <w:b/>
        </w:rPr>
        <w:t xml:space="preserve">• </w:t>
      </w:r>
      <w:r>
        <w:t>Advanced AI feature engineering, model development, or new data science workloads.</w:t>
      </w:r>
    </w:p>
    <w:p w:rsidR="00E65781" w:rsidRDefault="00000000" w14:paraId="158F69A3" w14:textId="77777777">
      <w:pPr>
        <w:pStyle w:val="BulletCustom"/>
        <w:ind w:left="360" w:hanging="259"/>
      </w:pPr>
      <w:r>
        <w:rPr>
          <w:b/>
        </w:rPr>
        <w:t xml:space="preserve">• </w:t>
      </w:r>
      <w:r>
        <w:t>Dashboard redesign work that does not improve trust, actionability, or reuse.</w:t>
      </w:r>
    </w:p>
    <w:p w:rsidR="00E65781" w:rsidRDefault="00000000" w14:paraId="39D460AA" w14:textId="77777777">
      <w:pPr>
        <w:pStyle w:val="SectionCustom"/>
      </w:pPr>
      <w:r>
        <w:t>4. Internal resource model and outsourced team alignment</w:t>
      </w:r>
    </w:p>
    <w:p w:rsidR="00E65781" w:rsidRDefault="00000000" w14:paraId="238D3A6B" w14:textId="77777777">
      <w:pPr>
        <w:pStyle w:val="BodyCustom"/>
      </w:pPr>
      <w:r>
        <w:t>The outsourced team should be used to accelerate current state understanding, establish the governed Phase 1 data products, and transfer knowledge into a stable internal operating model. The internal team must be staffed to absorb that knowledge and own the environment after go live.</w:t>
      </w:r>
    </w:p>
    <w:tbl>
      <w:tblPr>
        <w:tblW w:w="0" w:type="auto"/>
        <w:jc w:val="center"/>
        <w:tblLayout w:type="fixed"/>
        <w:tblLook w:val="04A0" w:firstRow="1" w:lastRow="0" w:firstColumn="1" w:lastColumn="0" w:noHBand="0" w:noVBand="1"/>
      </w:tblPr>
      <w:tblGrid>
        <w:gridCol w:w="2448"/>
        <w:gridCol w:w="3600"/>
        <w:gridCol w:w="2304"/>
        <w:gridCol w:w="2304"/>
      </w:tblGrid>
      <w:tr w:rsidR="00E65781" w14:paraId="2050DE23" w14:textId="77777777">
        <w:trPr>
          <w:jc w:val="center"/>
        </w:trPr>
        <w:tc>
          <w:tcPr>
            <w:tcW w:w="2448"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C06DA7B" w14:textId="77777777">
            <w:pPr>
              <w:jc w:val="center"/>
            </w:pPr>
            <w:r>
              <w:rPr>
                <w:b/>
                <w:color w:val="FFFFFF"/>
                <w:sz w:val="19"/>
              </w:rPr>
              <w:t>Role</w:t>
            </w:r>
          </w:p>
        </w:tc>
        <w:tc>
          <w:tcPr>
            <w:tcW w:w="3600"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DF8A90E" w14:textId="77777777">
            <w:pPr>
              <w:jc w:val="center"/>
            </w:pPr>
            <w:r>
              <w:rPr>
                <w:b/>
                <w:color w:val="FFFFFF"/>
                <w:sz w:val="19"/>
              </w:rPr>
              <w:t>Primary responsibility</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77A480A" w14:textId="77777777">
            <w:pPr>
              <w:jc w:val="center"/>
            </w:pPr>
            <w:r>
              <w:rPr>
                <w:b/>
                <w:color w:val="FFFFFF"/>
                <w:sz w:val="19"/>
              </w:rPr>
              <w:t>Internal allocation</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92A8C2F" w14:textId="77777777">
            <w:pPr>
              <w:jc w:val="center"/>
            </w:pPr>
            <w:r>
              <w:rPr>
                <w:b/>
                <w:color w:val="FFFFFF"/>
                <w:sz w:val="19"/>
              </w:rPr>
              <w:t>Outsourced allocation</w:t>
            </w:r>
          </w:p>
        </w:tc>
      </w:tr>
      <w:tr w:rsidR="00E65781" w14:paraId="6AA05326"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966B03E" w14:textId="77777777">
            <w:pPr>
              <w:pStyle w:val="BodyCustom"/>
            </w:pPr>
            <w:r>
              <w:t>Executive sponsor</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38417F5" w14:textId="77777777">
            <w:pPr>
              <w:pStyle w:val="BodyCustom"/>
            </w:pPr>
            <w:r>
              <w:t>Scope protection, escalation, decision making</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D97FF41" w14:textId="77777777">
            <w:pPr>
              <w:pStyle w:val="BodyCustom"/>
              <w:jc w:val="center"/>
            </w:pPr>
            <w:r>
              <w:t>0.1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B280DA6" w14:textId="77777777">
            <w:pPr>
              <w:pStyle w:val="BodyCustom"/>
              <w:jc w:val="center"/>
            </w:pPr>
            <w:r>
              <w:t>As needed</w:t>
            </w:r>
          </w:p>
        </w:tc>
      </w:tr>
      <w:tr w:rsidR="00E65781" w14:paraId="4E0A2135"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3A2BB56" w14:textId="77777777">
            <w:pPr>
              <w:pStyle w:val="BodyCustom"/>
            </w:pPr>
            <w:r>
              <w:t>Business product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4F9A69D" w14:textId="77777777">
            <w:pPr>
              <w:pStyle w:val="BodyCustom"/>
            </w:pPr>
            <w:r>
              <w:t>Output definitions, acceptance, prioritization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8799CBD" w14:textId="77777777">
            <w:pPr>
              <w:pStyle w:val="BodyCustom"/>
              <w:jc w:val="center"/>
            </w:pPr>
            <w:r>
              <w:t>0.5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C7EF859" w14:textId="77777777">
            <w:pPr>
              <w:pStyle w:val="BodyCustom"/>
              <w:jc w:val="center"/>
            </w:pPr>
            <w:r>
              <w:t>Support only</w:t>
            </w:r>
          </w:p>
        </w:tc>
      </w:tr>
      <w:tr w:rsidR="00E65781" w14:paraId="42579848"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75A8D4E7" w14:textId="77777777">
            <w:pPr>
              <w:pStyle w:val="BodyCustom"/>
            </w:pPr>
            <w:r>
              <w:t>Technical delivery lead</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68FC9C46" w14:textId="77777777">
            <w:pPr>
              <w:pStyle w:val="BodyCustom"/>
            </w:pPr>
            <w:r>
              <w:t>Integrated execution across teams</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041B19" w14:textId="77777777">
            <w:pPr>
              <w:pStyle w:val="BodyCustom"/>
              <w:jc w:val="center"/>
            </w:pPr>
            <w:r>
              <w:t>0.75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90569D" w14:textId="77777777">
            <w:pPr>
              <w:pStyle w:val="BodyCustom"/>
              <w:jc w:val="center"/>
            </w:pPr>
            <w:r>
              <w:t>0.5 FTE</w:t>
            </w:r>
          </w:p>
        </w:tc>
      </w:tr>
      <w:tr w:rsidR="00E65781" w14:paraId="1A3F8A9E"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579D46E" w14:textId="77777777">
            <w:pPr>
              <w:pStyle w:val="BodyCustom"/>
            </w:pPr>
            <w:r>
              <w:t>Analytics lead</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DD7445F" w14:textId="77777777">
            <w:pPr>
              <w:pStyle w:val="BodyCustom"/>
            </w:pPr>
            <w:r>
              <w:t>Metric definition, output validation, usability</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666C421" w14:textId="77777777">
            <w:pPr>
              <w:pStyle w:val="BodyCustom"/>
              <w:jc w:val="center"/>
            </w:pPr>
            <w:r>
              <w:t>0.5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F7F1B1B" w14:textId="77777777">
            <w:pPr>
              <w:pStyle w:val="BodyCustom"/>
              <w:jc w:val="center"/>
            </w:pPr>
            <w:r>
              <w:t>0.25 FTE</w:t>
            </w:r>
          </w:p>
        </w:tc>
      </w:tr>
      <w:tr w:rsidR="00E65781" w14:paraId="39BB7C2C"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2B57E88" w14:textId="77777777">
            <w:pPr>
              <w:pStyle w:val="BodyCustom"/>
            </w:pPr>
            <w:r>
              <w:t>Data engineering lead</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7C3E48C" w14:textId="77777777">
            <w:pPr>
              <w:pStyle w:val="BodyCustom"/>
            </w:pPr>
            <w:r>
              <w:t>Pipeline and transformation ownership</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123B118" w14:textId="77777777">
            <w:pPr>
              <w:pStyle w:val="BodyCustom"/>
              <w:jc w:val="center"/>
            </w:pPr>
            <w:r>
              <w:t>1.0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14D9E38" w14:textId="77777777">
            <w:pPr>
              <w:pStyle w:val="BodyCustom"/>
              <w:jc w:val="center"/>
            </w:pPr>
            <w:r>
              <w:t>1.0 FTE</w:t>
            </w:r>
          </w:p>
        </w:tc>
      </w:tr>
      <w:tr w:rsidR="00E65781" w14:paraId="1E47E87B"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89775CE" w14:textId="77777777">
            <w:pPr>
              <w:pStyle w:val="BodyCustom"/>
            </w:pPr>
            <w:r>
              <w:t>ADT source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58F472A" w14:textId="77777777">
            <w:pPr>
              <w:pStyle w:val="BodyCustom"/>
            </w:pPr>
            <w:r>
              <w:t>Source validation and defect resolution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4A9DC3E"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3730306" w14:textId="77777777">
            <w:pPr>
              <w:pStyle w:val="BodyCustom"/>
              <w:jc w:val="center"/>
            </w:pPr>
            <w:r>
              <w:t>0.25 FTE</w:t>
            </w:r>
          </w:p>
        </w:tc>
      </w:tr>
      <w:tr w:rsidR="00E65781" w14:paraId="773E95D5"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7AE6E5B" w14:textId="77777777">
            <w:pPr>
              <w:pStyle w:val="BodyCustom"/>
            </w:pPr>
            <w:r>
              <w:t>Claims source owner</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9CC7154" w14:textId="77777777">
            <w:pPr>
              <w:pStyle w:val="BodyCustom"/>
            </w:pPr>
            <w:r>
              <w:t>Source validation and defect resolution</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32455F2"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401E1C2" w14:textId="77777777">
            <w:pPr>
              <w:pStyle w:val="BodyCustom"/>
              <w:jc w:val="center"/>
            </w:pPr>
            <w:r>
              <w:t>0.25 FTE</w:t>
            </w:r>
          </w:p>
        </w:tc>
      </w:tr>
      <w:tr w:rsidR="00E65781" w14:paraId="5B16D3CD"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70712BA" w14:textId="77777777">
            <w:pPr>
              <w:pStyle w:val="BodyCustom"/>
            </w:pPr>
            <w:r>
              <w:t>Eligibility source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5663746" w14:textId="77777777">
            <w:pPr>
              <w:pStyle w:val="BodyCustom"/>
            </w:pPr>
            <w:r>
              <w:t>Roster validation and reconciliation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D6339C4"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2ABFD07" w14:textId="77777777">
            <w:pPr>
              <w:pStyle w:val="BodyCustom"/>
              <w:jc w:val="center"/>
            </w:pPr>
            <w:r>
              <w:t>0.25 FTE</w:t>
            </w:r>
          </w:p>
        </w:tc>
      </w:tr>
    </w:tbl>
    <w:p w:rsidR="00E65781" w:rsidRDefault="00E65781" w14:paraId="15C84CA5" w14:textId="77777777"/>
    <w:p w:rsidR="00E65781" w:rsidRDefault="00000000" w14:paraId="4031225E" w14:textId="77777777">
      <w:pPr>
        <w:pStyle w:val="BodyCustom"/>
      </w:pPr>
      <w:r>
        <w:t>Internal resource commitment is mandatory. If the named internal roles are not ring fenced for Phase 1, the outsourced team will continue to function as a temporary overlay rather than as an accelerator with a usable handoff.</w:t>
      </w:r>
    </w:p>
    <w:p w:rsidR="00E65781" w:rsidRDefault="00000000" w14:paraId="3800547A" w14:textId="77777777">
      <w:pPr>
        <w:pStyle w:val="SectionCustom"/>
      </w:pPr>
      <w:r>
        <w:t>5. Knowledge transfer and current state understanding</w:t>
      </w:r>
    </w:p>
    <w:p w:rsidR="00E65781" w:rsidRDefault="00000000" w14:paraId="7FB5AE79" w14:textId="77777777">
      <w:pPr>
        <w:pStyle w:val="SubsectionCustom"/>
      </w:pPr>
      <w:r>
        <w:t>Knowledge transfer objectives</w:t>
      </w:r>
    </w:p>
    <w:p w:rsidR="00E65781" w:rsidRDefault="00000000" w14:paraId="77F35635" w14:textId="77777777">
      <w:pPr>
        <w:pStyle w:val="BulletCustom"/>
        <w:ind w:left="360" w:hanging="259"/>
      </w:pPr>
      <w:r>
        <w:rPr>
          <w:b/>
        </w:rPr>
        <w:t xml:space="preserve">• </w:t>
      </w:r>
      <w:r>
        <w:t>Document the current state data flow for ADT, claims, and eligibility from source arrival through transformation, business logic, reporting use, and issue handling.</w:t>
      </w:r>
    </w:p>
    <w:p w:rsidR="00E65781" w:rsidRDefault="00000000" w14:paraId="4D3F3201" w14:textId="77777777">
      <w:pPr>
        <w:pStyle w:val="BulletCustom"/>
        <w:ind w:left="360" w:hanging="259"/>
      </w:pPr>
      <w:r>
        <w:rPr>
          <w:b/>
        </w:rPr>
        <w:t xml:space="preserve">• </w:t>
      </w:r>
      <w:r>
        <w:t>Identify where current Power BI outputs rely on duplicated logic, manual reconciliation, or undocumented business rules.</w:t>
      </w:r>
    </w:p>
    <w:p w:rsidR="00E65781" w:rsidRDefault="00000000" w14:paraId="0C6E28DB" w14:textId="77777777">
      <w:pPr>
        <w:pStyle w:val="BulletCustom"/>
        <w:ind w:left="360" w:hanging="259"/>
      </w:pPr>
      <w:r>
        <w:rPr>
          <w:b/>
        </w:rPr>
        <w:t xml:space="preserve">• </w:t>
      </w:r>
      <w:r>
        <w:t>Establish one agreed set of business definitions and reconciliation rules for the four Phase 1 outputs.</w:t>
      </w:r>
    </w:p>
    <w:p w:rsidR="00E65781" w:rsidRDefault="00000000" w14:paraId="792220E3" w14:textId="77777777">
      <w:pPr>
        <w:pStyle w:val="BulletCustom"/>
        <w:ind w:left="360" w:hanging="259"/>
      </w:pPr>
      <w:r>
        <w:rPr>
          <w:b/>
        </w:rPr>
        <w:t xml:space="preserve">• </w:t>
      </w:r>
      <w:r>
        <w:t>Ensure internal IT, analytics, and business owners understand the current state sufficiently to validate scope, accept deliverables, and support the outputs after go live.</w:t>
      </w:r>
    </w:p>
    <w:p w:rsidR="00E65781" w:rsidRDefault="00000000" w14:paraId="2D54A1AC" w14:textId="77777777">
      <w:pPr>
        <w:pStyle w:val="SubsectionCustom"/>
      </w:pPr>
      <w:r>
        <w:t>Required deliverables from the outsourced team</w:t>
      </w:r>
    </w:p>
    <w:p w:rsidR="00E65781" w:rsidRDefault="00000000" w14:paraId="22CB0B0B" w14:textId="77777777">
      <w:pPr>
        <w:pStyle w:val="BulletCustom"/>
        <w:ind w:left="360" w:hanging="259"/>
      </w:pPr>
      <w:r>
        <w:rPr>
          <w:b/>
        </w:rPr>
        <w:t xml:space="preserve">• </w:t>
      </w:r>
      <w:r>
        <w:t>Current state architecture diagram and field level source map for ADT, claims, and eligibility.</w:t>
      </w:r>
    </w:p>
    <w:p w:rsidR="00E65781" w:rsidRDefault="00000000" w14:paraId="62736A61" w14:textId="77777777">
      <w:pPr>
        <w:pStyle w:val="BulletCustom"/>
        <w:ind w:left="360" w:hanging="259"/>
      </w:pPr>
      <w:r>
        <w:rPr>
          <w:b/>
        </w:rPr>
        <w:t xml:space="preserve">• </w:t>
      </w:r>
      <w:r>
        <w:t>Transformation inventory showing existing logic, duplicate logic, and logic proposed for reuse or retirement.</w:t>
      </w:r>
    </w:p>
    <w:p w:rsidR="00E65781" w:rsidRDefault="00000000" w14:paraId="00C4ECB9" w14:textId="77777777">
      <w:pPr>
        <w:pStyle w:val="BulletCustom"/>
        <w:ind w:left="360" w:hanging="259"/>
      </w:pPr>
      <w:r>
        <w:rPr>
          <w:b/>
        </w:rPr>
        <w:t xml:space="preserve">• </w:t>
      </w:r>
      <w:r>
        <w:t>Data quality and reconciliation rules for each Phase 1 output.</w:t>
      </w:r>
    </w:p>
    <w:p w:rsidR="00E65781" w:rsidRDefault="00000000" w14:paraId="1DBA34C0" w14:textId="77777777">
      <w:pPr>
        <w:pStyle w:val="BulletCustom"/>
        <w:ind w:left="360" w:hanging="259"/>
      </w:pPr>
      <w:r>
        <w:rPr>
          <w:b/>
        </w:rPr>
        <w:t xml:space="preserve">• </w:t>
      </w:r>
      <w:r>
        <w:t>Runbook covering refresh cadence, defect triage, monitoring, and escalation.</w:t>
      </w:r>
    </w:p>
    <w:p w:rsidR="00E65781" w:rsidRDefault="00000000" w14:paraId="0B865E6E" w14:textId="77777777">
      <w:pPr>
        <w:pStyle w:val="BulletCustom"/>
        <w:ind w:left="360" w:hanging="259"/>
      </w:pPr>
      <w:r>
        <w:rPr>
          <w:b/>
        </w:rPr>
        <w:t xml:space="preserve">• </w:t>
      </w:r>
      <w:r>
        <w:t>Walkthrough sessions with internal IT, analytics, and business owners, including recorded demonstrations and written handoff materials.</w:t>
      </w:r>
    </w:p>
    <w:p w:rsidR="00E65781" w:rsidRDefault="00000000" w14:paraId="3CE1552D" w14:textId="77777777">
      <w:pPr>
        <w:pStyle w:val="SectionCustom"/>
      </w:pPr>
      <w:r>
        <w:t>6. Delivery plan</w:t>
      </w:r>
    </w:p>
    <w:tbl>
      <w:tblPr>
        <w:tblW w:w="0" w:type="auto"/>
        <w:jc w:val="center"/>
        <w:tblLayout w:type="fixed"/>
        <w:tblLook w:val="04A0" w:firstRow="1" w:lastRow="0" w:firstColumn="1" w:lastColumn="0" w:noHBand="0" w:noVBand="1"/>
      </w:tblPr>
      <w:tblGrid>
        <w:gridCol w:w="1656"/>
        <w:gridCol w:w="3384"/>
        <w:gridCol w:w="3384"/>
        <w:gridCol w:w="2232"/>
      </w:tblGrid>
      <w:tr w:rsidR="00E65781" w14:paraId="7B196B90" w14:textId="77777777">
        <w:trPr>
          <w:jc w:val="center"/>
        </w:trPr>
        <w:tc>
          <w:tcPr>
            <w:tcW w:w="1656"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B8D6BD0" w14:textId="77777777">
            <w:pPr>
              <w:jc w:val="center"/>
            </w:pPr>
            <w:r>
              <w:rPr>
                <w:b/>
                <w:color w:val="FFFFFF"/>
                <w:sz w:val="19"/>
              </w:rPr>
              <w:t>Timing</w:t>
            </w:r>
          </w:p>
        </w:tc>
        <w:tc>
          <w:tcPr>
            <w:tcW w:w="338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B6DDF3B" w14:textId="77777777">
            <w:pPr>
              <w:jc w:val="center"/>
            </w:pPr>
            <w:r>
              <w:rPr>
                <w:b/>
                <w:color w:val="FFFFFF"/>
                <w:sz w:val="19"/>
              </w:rPr>
              <w:t>Primary objective</w:t>
            </w:r>
          </w:p>
        </w:tc>
        <w:tc>
          <w:tcPr>
            <w:tcW w:w="338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119BE03" w14:textId="77777777">
            <w:pPr>
              <w:jc w:val="center"/>
            </w:pPr>
            <w:r>
              <w:rPr>
                <w:b/>
                <w:color w:val="FFFFFF"/>
                <w:sz w:val="19"/>
              </w:rPr>
              <w:t>Required output</w:t>
            </w:r>
          </w:p>
        </w:tc>
        <w:tc>
          <w:tcPr>
            <w:tcW w:w="223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039B625E" w14:textId="77777777">
            <w:pPr>
              <w:jc w:val="center"/>
            </w:pPr>
            <w:r>
              <w:rPr>
                <w:b/>
                <w:color w:val="FFFFFF"/>
                <w:sz w:val="19"/>
              </w:rPr>
              <w:t>Primary owner</w:t>
            </w:r>
          </w:p>
        </w:tc>
      </w:tr>
      <w:tr w:rsidR="00E65781" w14:paraId="4A1E6436"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9407517" w14:textId="77777777">
            <w:pPr>
              <w:pStyle w:val="BodyCustom"/>
              <w:jc w:val="center"/>
            </w:pPr>
            <w:r>
              <w:t>Week 1</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8D8BDE8" w14:textId="77777777">
            <w:pPr>
              <w:pStyle w:val="BodyCustom"/>
            </w:pPr>
            <w:r>
              <w:t>Freeze Phase 1 scope and internal assignments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DFA6339" w14:textId="77777777">
            <w:pPr>
              <w:pStyle w:val="BodyCustom"/>
            </w:pPr>
            <w:r>
              <w:t>Approved output list, owner matrix, and source boundary</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9BD316F" w14:textId="77777777">
            <w:pPr>
              <w:pStyle w:val="BodyCustom"/>
              <w:jc w:val="center"/>
            </w:pPr>
            <w:r>
              <w:t>Executive sponsor</w:t>
            </w:r>
          </w:p>
        </w:tc>
      </w:tr>
      <w:tr w:rsidR="00E65781" w14:paraId="35E0E21D"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AF7533F" w14:textId="77777777">
            <w:pPr>
              <w:pStyle w:val="BodyCustom"/>
              <w:jc w:val="center"/>
            </w:pPr>
            <w:r>
              <w:t>Week 2</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D415361" w14:textId="77777777">
            <w:pPr>
              <w:pStyle w:val="BodyCustom"/>
            </w:pPr>
            <w:r>
              <w:t>Complete current state assessment and source field map</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E28929E" w14:textId="77777777">
            <w:pPr>
              <w:pStyle w:val="BodyCustom"/>
            </w:pPr>
            <w:r>
              <w:t>Current state architecture, field map, and known gaps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58DA431" w14:textId="77777777">
            <w:pPr>
              <w:pStyle w:val="BodyCustom"/>
              <w:jc w:val="center"/>
            </w:pPr>
            <w:r>
              <w:t>Technical delivery lead</w:t>
            </w:r>
          </w:p>
        </w:tc>
      </w:tr>
      <w:tr w:rsidR="00E65781" w14:paraId="40DAAE5B"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F4F451C" w14:textId="77777777">
            <w:pPr>
              <w:pStyle w:val="BodyCustom"/>
              <w:jc w:val="center"/>
            </w:pPr>
            <w:r>
              <w:t>Week 3</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6F1AFD17" w14:textId="77777777">
            <w:pPr>
              <w:pStyle w:val="BodyCustom"/>
            </w:pPr>
            <w:r>
              <w:t>Finalize business definitions and reconciliation rules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796C44DA" w14:textId="77777777">
            <w:pPr>
              <w:pStyle w:val="BodyCustom"/>
            </w:pPr>
            <w:r>
              <w:t>Metric definitions, matching logic, and refresh rules</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99A55CE" w14:textId="77777777">
            <w:pPr>
              <w:pStyle w:val="BodyCustom"/>
              <w:jc w:val="center"/>
            </w:pPr>
            <w:r>
              <w:t>Business product owner</w:t>
            </w:r>
          </w:p>
        </w:tc>
      </w:tr>
      <w:tr w:rsidR="00E65781" w14:paraId="5F6D6857"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05FAFD4" w14:textId="77777777">
            <w:pPr>
              <w:pStyle w:val="BodyCustom"/>
              <w:jc w:val="center"/>
            </w:pPr>
            <w:r>
              <w:t>Weeks 4 to 5</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1E91888" w14:textId="77777777">
            <w:pPr>
              <w:pStyle w:val="BodyCustom"/>
            </w:pPr>
            <w:r>
              <w:t>Build and validate governed transformation layer</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65EDBF2" w14:textId="77777777">
            <w:pPr>
              <w:pStyle w:val="BodyCustom"/>
            </w:pPr>
            <w:r>
              <w:t>Initial output datasets and reconciliation results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02891C7" w14:textId="77777777">
            <w:pPr>
              <w:pStyle w:val="BodyCustom"/>
              <w:jc w:val="center"/>
            </w:pPr>
            <w:r>
              <w:t>Data engineering lead</w:t>
            </w:r>
          </w:p>
        </w:tc>
      </w:tr>
      <w:tr w:rsidR="00E65781" w14:paraId="26B1F7CA"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348C4C6" w14:textId="77777777">
            <w:pPr>
              <w:pStyle w:val="BodyCustom"/>
              <w:jc w:val="center"/>
            </w:pPr>
            <w:r>
              <w:t>Weeks 6 to 7</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9B19A60" w14:textId="77777777">
            <w:pPr>
              <w:pStyle w:val="BodyCustom"/>
            </w:pPr>
            <w:r>
              <w:t>Validate with internal users and stabilize defects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D7C226D" w14:textId="77777777">
            <w:pPr>
              <w:pStyle w:val="BodyCustom"/>
            </w:pPr>
            <w:r>
              <w:t>Signed output validation and updated runbooks</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E41A05E" w14:textId="77777777">
            <w:pPr>
              <w:pStyle w:val="BodyCustom"/>
              <w:jc w:val="center"/>
            </w:pPr>
            <w:r>
              <w:t>Analytics lead</w:t>
            </w:r>
          </w:p>
        </w:tc>
      </w:tr>
      <w:tr w:rsidR="00E65781" w14:paraId="35E22373"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7BB85B" w14:textId="77777777">
            <w:pPr>
              <w:pStyle w:val="BodyCustom"/>
              <w:jc w:val="center"/>
            </w:pPr>
            <w:r>
              <w:t>Weeks 8 to 9</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95C48D5" w14:textId="77777777">
            <w:pPr>
              <w:pStyle w:val="BodyCustom"/>
            </w:pPr>
            <w:r>
              <w:t>Move outputs into production cadence and complete handoff</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63020D" w14:textId="77777777">
            <w:pPr>
              <w:pStyle w:val="BodyCustom"/>
            </w:pPr>
            <w:r>
              <w:t>Production run, monitoring, and support readiness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5526B10" w14:textId="77777777">
            <w:pPr>
              <w:pStyle w:val="BodyCustom"/>
              <w:jc w:val="center"/>
            </w:pPr>
            <w:r>
              <w:t>Technical delivery lead</w:t>
            </w:r>
          </w:p>
        </w:tc>
      </w:tr>
    </w:tbl>
    <w:p w:rsidR="00E65781" w:rsidRDefault="00E65781" w14:paraId="3F76B610" w14:textId="77777777"/>
    <w:p w:rsidR="00E65781" w:rsidRDefault="00000000" w14:paraId="483361FF" w14:textId="77777777">
      <w:pPr>
        <w:pStyle w:val="SectionCustom"/>
      </w:pPr>
      <w:r>
        <w:t>7. Governance and working model</w:t>
      </w:r>
    </w:p>
    <w:p w:rsidR="00E65781" w:rsidRDefault="00000000" w14:paraId="764359D6" w14:textId="77777777">
      <w:pPr>
        <w:pStyle w:val="BulletCustom"/>
        <w:ind w:left="360" w:hanging="259"/>
      </w:pPr>
      <w:r>
        <w:rPr>
          <w:b/>
        </w:rPr>
        <w:t xml:space="preserve">• </w:t>
      </w:r>
      <w:r>
        <w:t>Executive sponsor: responsible for scope protection, escalation, and cross functional decisions.</w:t>
      </w:r>
    </w:p>
    <w:p w:rsidR="00E65781" w:rsidRDefault="00000000" w14:paraId="10DA5DA8" w14:textId="77777777">
      <w:pPr>
        <w:pStyle w:val="BulletCustom"/>
        <w:ind w:left="360" w:hanging="259"/>
      </w:pPr>
      <w:r>
        <w:rPr>
          <w:b/>
        </w:rPr>
        <w:t xml:space="preserve">• </w:t>
      </w:r>
      <w:r>
        <w:t>Business product owner: responsible for acceptance of the four outputs, prioritization of defects, and alignment with operating needs.</w:t>
      </w:r>
    </w:p>
    <w:p w:rsidR="00E65781" w:rsidRDefault="00000000" w14:paraId="2447B3B3" w14:textId="77777777">
      <w:pPr>
        <w:pStyle w:val="BulletCustom"/>
        <w:ind w:left="360" w:hanging="259"/>
      </w:pPr>
      <w:r>
        <w:rPr>
          <w:b/>
        </w:rPr>
        <w:t xml:space="preserve">• </w:t>
      </w:r>
      <w:r>
        <w:t>Technical delivery lead: responsible for end to end execution across internal and outsourced resources.</w:t>
      </w:r>
    </w:p>
    <w:p w:rsidR="00E65781" w:rsidRDefault="00000000" w14:paraId="6DC5A04F" w14:textId="77777777">
      <w:pPr>
        <w:pStyle w:val="BulletCustom"/>
        <w:ind w:left="360" w:hanging="259"/>
      </w:pPr>
      <w:r>
        <w:rPr>
          <w:b/>
        </w:rPr>
        <w:t xml:space="preserve">• </w:t>
      </w:r>
      <w:r>
        <w:t>Analytics lead: responsible for output usability, metric definitions, and validation against current reporting.</w:t>
      </w:r>
    </w:p>
    <w:p w:rsidR="00E65781" w:rsidRDefault="00000000" w14:paraId="51A3DF13" w14:textId="77777777">
      <w:pPr>
        <w:pStyle w:val="BulletCustom"/>
        <w:ind w:left="360" w:hanging="259"/>
      </w:pPr>
      <w:r>
        <w:rPr>
          <w:b/>
        </w:rPr>
        <w:t xml:space="preserve">• </w:t>
      </w:r>
      <w:r>
        <w:t>Data engineering lead: responsible for pipelines, transformations, quality controls, and support readiness.</w:t>
      </w:r>
    </w:p>
    <w:p w:rsidR="00E65781" w:rsidRDefault="00000000" w14:paraId="16B1B6CB" w14:textId="77777777">
      <w:pPr>
        <w:pStyle w:val="BulletCustom"/>
        <w:ind w:left="360" w:hanging="259"/>
      </w:pPr>
      <w:r>
        <w:rPr>
          <w:b/>
        </w:rPr>
        <w:t xml:space="preserve">• </w:t>
      </w:r>
      <w:r>
        <w:t>Source owners for ADT, claims, and eligibility: responsible for source access, field validation, and defect resolution when issues originate upstream.</w:t>
      </w:r>
    </w:p>
    <w:p w:rsidR="00E65781" w:rsidRDefault="00000000" w14:paraId="3ABE49E3" w14:textId="77777777">
      <w:pPr>
        <w:pStyle w:val="SubsectionCustom"/>
      </w:pPr>
      <w:r>
        <w:t>Cadence</w:t>
      </w:r>
    </w:p>
    <w:p w:rsidR="00E65781" w:rsidRDefault="00000000" w14:paraId="31254F86" w14:textId="77777777">
      <w:pPr>
        <w:pStyle w:val="BulletCustom"/>
        <w:ind w:left="360" w:hanging="259"/>
      </w:pPr>
      <w:r>
        <w:rPr>
          <w:b/>
        </w:rPr>
        <w:t xml:space="preserve">• </w:t>
      </w:r>
      <w:r>
        <w:t>Daily 20 minute delivery standup for active execution issues.</w:t>
      </w:r>
    </w:p>
    <w:p w:rsidR="00E65781" w:rsidRDefault="00000000" w14:paraId="7F689B25" w14:textId="77777777">
      <w:pPr>
        <w:pStyle w:val="BulletCustom"/>
        <w:ind w:left="360" w:hanging="259"/>
      </w:pPr>
      <w:r>
        <w:rPr>
          <w:b/>
        </w:rPr>
        <w:t xml:space="preserve">• </w:t>
      </w:r>
      <w:r>
        <w:t>Twice weekly working session for architecture, logic, and reconciliation decisions.</w:t>
      </w:r>
    </w:p>
    <w:p w:rsidR="00E65781" w:rsidRDefault="00000000" w14:paraId="6B14E7FB" w14:textId="77777777">
      <w:pPr>
        <w:pStyle w:val="BulletCustom"/>
        <w:ind w:left="360" w:hanging="259"/>
      </w:pPr>
      <w:r>
        <w:rPr>
          <w:b/>
        </w:rPr>
        <w:t xml:space="preserve">• </w:t>
      </w:r>
      <w:r>
        <w:t>Weekly executive checkpoint focused on scope, risk, staffing, and acceptance readiness.</w:t>
      </w:r>
    </w:p>
    <w:p w:rsidR="00E65781" w:rsidRDefault="00000000" w14:paraId="1C1466AC" w14:textId="77777777">
      <w:pPr>
        <w:pStyle w:val="BulletCustom"/>
        <w:ind w:left="360" w:hanging="259"/>
      </w:pPr>
      <w:r>
        <w:rPr>
          <w:b/>
        </w:rPr>
        <w:t xml:space="preserve">• </w:t>
      </w:r>
      <w:r>
        <w:t>Weekly knowledge transfer checkpoint to confirm internal readiness and open gaps.</w:t>
      </w:r>
    </w:p>
    <w:p w:rsidR="00E65781" w:rsidRDefault="00000000" w14:paraId="55B389E8" w14:textId="77777777">
      <w:pPr>
        <w:pStyle w:val="SectionCustom"/>
      </w:pPr>
      <w:r>
        <w:t>8. Risks and dependencies</w:t>
      </w:r>
    </w:p>
    <w:tbl>
      <w:tblPr>
        <w:tblW w:w="0" w:type="auto"/>
        <w:jc w:val="center"/>
        <w:tblLayout w:type="fixed"/>
        <w:tblLook w:val="04A0" w:firstRow="1" w:lastRow="0" w:firstColumn="1" w:lastColumn="0" w:noHBand="0" w:noVBand="1"/>
      </w:tblPr>
      <w:tblGrid>
        <w:gridCol w:w="3024"/>
        <w:gridCol w:w="4032"/>
        <w:gridCol w:w="3312"/>
      </w:tblGrid>
      <w:tr w:rsidR="00E65781" w14:paraId="09B02822" w14:textId="77777777">
        <w:trPr>
          <w:jc w:val="center"/>
        </w:trPr>
        <w:tc>
          <w:tcPr>
            <w:tcW w:w="302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3BE76AD" w14:textId="77777777">
            <w:pPr>
              <w:jc w:val="center"/>
            </w:pPr>
            <w:r>
              <w:rPr>
                <w:b/>
                <w:color w:val="FFFFFF"/>
                <w:sz w:val="19"/>
              </w:rPr>
              <w:t>Risk or dependency</w:t>
            </w:r>
          </w:p>
        </w:tc>
        <w:tc>
          <w:tcPr>
            <w:tcW w:w="403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1CDBAC2F" w14:textId="77777777">
            <w:pPr>
              <w:jc w:val="center"/>
            </w:pPr>
            <w:r>
              <w:rPr>
                <w:b/>
                <w:color w:val="FFFFFF"/>
                <w:sz w:val="19"/>
              </w:rPr>
              <w:t>Impact on Phase 1</w:t>
            </w:r>
          </w:p>
        </w:tc>
        <w:tc>
          <w:tcPr>
            <w:tcW w:w="331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26938AE" w14:textId="77777777">
            <w:pPr>
              <w:jc w:val="center"/>
            </w:pPr>
            <w:r>
              <w:rPr>
                <w:b/>
                <w:color w:val="FFFFFF"/>
                <w:sz w:val="19"/>
              </w:rPr>
              <w:t>Required control</w:t>
            </w:r>
          </w:p>
        </w:tc>
      </w:tr>
      <w:tr w:rsidR="00E65781" w14:paraId="56A02CE1"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6004750" w14:textId="77777777">
            <w:pPr>
              <w:pStyle w:val="BodyCustom"/>
            </w:pPr>
            <w:r>
              <w:t>Uncontrolled scope growth</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3BCB34A" w14:textId="77777777">
            <w:pPr>
              <w:pStyle w:val="BodyCustom"/>
            </w:pPr>
            <w:r>
              <w:t>Delays delivery and weakens knowledge transfer</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936CE96" w14:textId="77777777">
            <w:pPr>
              <w:pStyle w:val="BodyCustom"/>
            </w:pPr>
            <w:r>
              <w:t>No new sources and no new use cases without executive approval</w:t>
            </w:r>
          </w:p>
        </w:tc>
      </w:tr>
      <w:tr w:rsidR="00E65781" w14:paraId="189BABA4" w14:textId="77777777">
        <w:trPr>
          <w:jc w:val="center"/>
        </w:trPr>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9E68C27" w14:textId="77777777">
            <w:pPr>
              <w:pStyle w:val="BodyCustom"/>
            </w:pPr>
            <w:r>
              <w:t>Insufficient internal staffing</w:t>
            </w:r>
          </w:p>
        </w:tc>
        <w:tc>
          <w:tcPr>
            <w:tcW w:w="40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C9B9AE4" w14:textId="77777777">
            <w:pPr>
              <w:pStyle w:val="BodyCustom"/>
            </w:pPr>
            <w:r>
              <w:t>Creates dependence on outsourced team after go live</w:t>
            </w:r>
          </w:p>
        </w:tc>
        <w:tc>
          <w:tcPr>
            <w:tcW w:w="331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8921E27" w14:textId="77777777">
            <w:pPr>
              <w:pStyle w:val="BodyCustom"/>
            </w:pPr>
            <w:r>
              <w:t>Ring fence internal roles and require attendance in transfer sessions</w:t>
            </w:r>
          </w:p>
        </w:tc>
      </w:tr>
      <w:tr w:rsidR="00E65781" w14:paraId="4EACF136"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7147498" w14:textId="77777777">
            <w:pPr>
              <w:pStyle w:val="BodyCustom"/>
            </w:pPr>
            <w:r>
              <w:t>Undefined business logic</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6C99FAB" w14:textId="77777777">
            <w:pPr>
              <w:pStyle w:val="BodyCustom"/>
            </w:pPr>
            <w:r>
              <w:t>Creates conflicting outputs and weak trust</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FFF42A8" w14:textId="77777777">
            <w:pPr>
              <w:pStyle w:val="BodyCustom"/>
            </w:pPr>
            <w:r>
              <w:t>Lock business definitions before transformation completion</w:t>
            </w:r>
          </w:p>
        </w:tc>
      </w:tr>
      <w:tr w:rsidR="00E65781" w14:paraId="00FBE9A4" w14:textId="77777777">
        <w:trPr>
          <w:jc w:val="center"/>
        </w:trPr>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BAE77B6" w14:textId="77777777">
            <w:pPr>
              <w:pStyle w:val="BodyCustom"/>
            </w:pPr>
            <w:r>
              <w:t>Source quality and matching issues</w:t>
            </w:r>
          </w:p>
        </w:tc>
        <w:tc>
          <w:tcPr>
            <w:tcW w:w="40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F336BD1" w14:textId="77777777">
            <w:pPr>
              <w:pStyle w:val="BodyCustom"/>
            </w:pPr>
            <w:r>
              <w:t>Creates reconciliation failures and user distrust</w:t>
            </w:r>
          </w:p>
        </w:tc>
        <w:tc>
          <w:tcPr>
            <w:tcW w:w="331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2BBFD95" w14:textId="77777777">
            <w:pPr>
              <w:pStyle w:val="BodyCustom"/>
            </w:pPr>
            <w:r>
              <w:t>Publish data quality controls and exception handling with each output</w:t>
            </w:r>
          </w:p>
        </w:tc>
      </w:tr>
      <w:tr w:rsidR="00E65781" w14:paraId="02181C8E"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B3EE802" w14:textId="77777777">
            <w:pPr>
              <w:pStyle w:val="BodyCustom"/>
            </w:pPr>
            <w:r>
              <w:t>Competing operational priorities</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75784BE" w14:textId="77777777">
            <w:pPr>
              <w:pStyle w:val="BodyCustom"/>
            </w:pPr>
            <w:r>
              <w:t>Pulls internal owners away from acceptance and handoff</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38C229A" w14:textId="77777777">
            <w:pPr>
              <w:pStyle w:val="BodyCustom"/>
            </w:pPr>
            <w:r>
              <w:t>Weekly executive checkpoint to enforce priority and remove blockers</w:t>
            </w:r>
          </w:p>
        </w:tc>
      </w:tr>
    </w:tbl>
    <w:p w:rsidR="00E65781" w:rsidRDefault="00E65781" w14:paraId="720C264F" w14:textId="77777777"/>
    <w:p w:rsidR="00E65781" w:rsidRDefault="00000000" w14:paraId="5726A3C7" w14:textId="77777777">
      <w:pPr>
        <w:pStyle w:val="SectionCustom"/>
      </w:pPr>
      <w:r>
        <w:t>9. Decisions required now</w:t>
      </w:r>
    </w:p>
    <w:p w:rsidR="00E65781" w:rsidRDefault="00000000" w14:paraId="0065FC76" w14:textId="77777777">
      <w:pPr>
        <w:pStyle w:val="BulletCustom"/>
        <w:ind w:left="360" w:hanging="259"/>
      </w:pPr>
      <w:r>
        <w:rPr>
          <w:b/>
        </w:rPr>
        <w:t xml:space="preserve">• </w:t>
      </w:r>
      <w:r>
        <w:t>Confirm that Phase 1 remains limited to ADT, claims, and eligibility rosters only.</w:t>
      </w:r>
    </w:p>
    <w:p w:rsidR="00E65781" w:rsidRDefault="00000000" w14:paraId="6392F54F" w14:textId="2C183B66">
      <w:pPr>
        <w:pStyle w:val="BulletCustom"/>
        <w:ind w:left="360" w:hanging="259"/>
      </w:pPr>
      <w:r w:rsidRPr="4B0418B9" w:rsidR="00000000">
        <w:rPr>
          <w:b w:val="1"/>
          <w:bCs w:val="1"/>
        </w:rPr>
        <w:t xml:space="preserve">• </w:t>
      </w:r>
      <w:r w:rsidR="00000000">
        <w:rPr/>
        <w:t xml:space="preserve">Approve the four Phase 1 outputs as the only </w:t>
      </w:r>
      <w:r w:rsidR="00000000">
        <w:rPr/>
        <w:t>required</w:t>
      </w:r>
      <w:r w:rsidR="00000000">
        <w:rPr/>
        <w:t xml:space="preserve"> production deliverables for </w:t>
      </w:r>
      <w:r w:rsidR="51C31DC3">
        <w:rPr/>
        <w:t>mid-May</w:t>
      </w:r>
      <w:r w:rsidR="00000000">
        <w:rPr/>
        <w:t xml:space="preserve"> 2026.</w:t>
      </w:r>
    </w:p>
    <w:p w:rsidR="00E65781" w:rsidRDefault="00000000" w14:paraId="17D9CB9E" w14:textId="77777777">
      <w:pPr>
        <w:pStyle w:val="BulletCustom"/>
        <w:ind w:left="360" w:hanging="259"/>
      </w:pPr>
      <w:r>
        <w:rPr>
          <w:b/>
        </w:rPr>
        <w:t xml:space="preserve">• </w:t>
      </w:r>
      <w:r>
        <w:t>Assign and ring fence the internal roles identified in this plan.</w:t>
      </w:r>
    </w:p>
    <w:p w:rsidR="00E65781" w:rsidRDefault="00000000" w14:paraId="19652E30" w14:textId="77777777">
      <w:pPr>
        <w:pStyle w:val="BulletCustom"/>
        <w:ind w:left="360" w:hanging="259"/>
      </w:pPr>
      <w:r>
        <w:rPr>
          <w:b/>
        </w:rPr>
        <w:t xml:space="preserve">• </w:t>
      </w:r>
      <w:r>
        <w:t>Require the outsourced team to deliver the knowledge transfer and current state artifacts listed in this plan.</w:t>
      </w:r>
    </w:p>
    <w:p w:rsidR="00E65781" w:rsidRDefault="00000000" w14:paraId="59A9AD58" w14:textId="77777777">
      <w:pPr>
        <w:pStyle w:val="BulletCustom"/>
        <w:ind w:left="360" w:hanging="259"/>
      </w:pPr>
      <w:r>
        <w:rPr>
          <w:b/>
        </w:rPr>
        <w:t xml:space="preserve">• </w:t>
      </w:r>
      <w:r>
        <w:t>Defer any additional source expansion or generalized platform work to a later phase.</w:t>
      </w:r>
    </w:p>
    <w:p w:rsidR="00E65781" w:rsidRDefault="00000000" w14:paraId="5D6BF4DD" w14:textId="77777777">
      <w:pPr>
        <w:pStyle w:val="SectionCustom"/>
      </w:pPr>
      <w:r>
        <w:t>10. Appendix: Phase 1 outputs</w:t>
      </w:r>
    </w:p>
    <w:p w:rsidR="00E65781" w:rsidRDefault="00000000" w14:paraId="119DB1B5" w14:textId="77777777">
      <w:pPr>
        <w:pStyle w:val="BodyCustom"/>
      </w:pPr>
      <w:r>
        <w:t>1. Acute Event Command View: Current admissions, discharges, and ED activity matched to current attributed population for operational awareness and prioritization.</w:t>
      </w:r>
    </w:p>
    <w:p w:rsidR="00E65781" w:rsidRDefault="00000000" w14:paraId="69B7240C" w14:textId="77777777">
      <w:pPr>
        <w:pStyle w:val="BodyCustom"/>
      </w:pPr>
      <w:r>
        <w:t>2. Transition of Care Action Layer: Action oriented view of attributed members with recent acute events requiring follow up, with timing, assignment, and unresolved exception visibility.</w:t>
      </w:r>
    </w:p>
    <w:p w:rsidR="00E65781" w:rsidRDefault="00000000" w14:paraId="31EEE283" w14:textId="77777777">
      <w:pPr>
        <w:pStyle w:val="BodyCustom"/>
      </w:pPr>
      <w:r>
        <w:t>3. High Utilization and Cost Pressure View: Claims plus roster driven view of current attributed members with elevated recent inpatient, repeat ED, or cost pressure patterns.</w:t>
      </w:r>
    </w:p>
    <w:p w:rsidR="00E65781" w:rsidRDefault="00000000" w14:paraId="3474829F" w14:textId="77777777">
      <w:pPr>
        <w:pStyle w:val="BodyCustom"/>
      </w:pPr>
      <w:r>
        <w:t>4. Data Quality and Reconciliation Control Layer: Visibility into source freshness, unmatched records, roster alignment issues, and reconciliation exceptions that affect trust in the outputs.</w:t>
      </w:r>
    </w:p>
    <w:sectPr w:rsidR="00E65781" w:rsidSect="00034616">
      <w:footerReference w:type="default" r:id="rId8"/>
      <w:pgSz w:w="12240" w:h="15840" w:orient="portrait"/>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761A" w:rsidRDefault="002B761A" w14:paraId="57F2D658" w14:textId="77777777">
      <w:pPr>
        <w:spacing w:after="0" w:line="240" w:lineRule="auto"/>
      </w:pPr>
      <w:r>
        <w:separator/>
      </w:r>
    </w:p>
  </w:endnote>
  <w:endnote w:type="continuationSeparator" w:id="0">
    <w:p w:rsidR="002B761A" w:rsidRDefault="002B761A" w14:paraId="540EBA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781" w:rsidRDefault="00000000" w14:paraId="7643BA69" w14:textId="77777777">
    <w:pPr>
      <w:pStyle w:val="Footer"/>
      <w:jc w:val="right"/>
    </w:pPr>
    <w:r>
      <w:fldChar w:fldCharType="begin"/>
    </w:r>
    <w:r>
      <w:instrText>PAGE</w:instrText>
    </w:r>
    <w:r>
      <w:fldChar w:fldCharType="separate"/>
    </w:r>
    <w:r w:rsidR="00D12A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761A" w:rsidRDefault="002B761A" w14:paraId="24AAD9F2" w14:textId="77777777">
      <w:pPr>
        <w:spacing w:after="0" w:line="240" w:lineRule="auto"/>
      </w:pPr>
      <w:r>
        <w:separator/>
      </w:r>
    </w:p>
  </w:footnote>
  <w:footnote w:type="continuationSeparator" w:id="0">
    <w:p w:rsidR="002B761A" w:rsidRDefault="002B761A" w14:paraId="158117A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490930">
    <w:abstractNumId w:val="8"/>
  </w:num>
  <w:num w:numId="2" w16cid:durableId="1638222770">
    <w:abstractNumId w:val="6"/>
  </w:num>
  <w:num w:numId="3" w16cid:durableId="1660423294">
    <w:abstractNumId w:val="5"/>
  </w:num>
  <w:num w:numId="4" w16cid:durableId="520778053">
    <w:abstractNumId w:val="4"/>
  </w:num>
  <w:num w:numId="5" w16cid:durableId="176579113">
    <w:abstractNumId w:val="7"/>
  </w:num>
  <w:num w:numId="6" w16cid:durableId="256208547">
    <w:abstractNumId w:val="3"/>
  </w:num>
  <w:num w:numId="7" w16cid:durableId="1816214117">
    <w:abstractNumId w:val="2"/>
  </w:num>
  <w:num w:numId="8" w16cid:durableId="1763531275">
    <w:abstractNumId w:val="1"/>
  </w:num>
  <w:num w:numId="9" w16cid:durableId="36937667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2B761A"/>
    <w:rsid w:val="00326F90"/>
    <w:rsid w:val="00AA1D8D"/>
    <w:rsid w:val="00AE57CB"/>
    <w:rsid w:val="00B47730"/>
    <w:rsid w:val="00CB0664"/>
    <w:rsid w:val="00D12A84"/>
    <w:rsid w:val="00E65781"/>
    <w:rsid w:val="00FC693F"/>
    <w:rsid w:val="4373A9E7"/>
    <w:rsid w:val="4470C3DB"/>
    <w:rsid w:val="4B0418B9"/>
    <w:rsid w:val="51C31DC3"/>
    <w:rsid w:val="6635DB2F"/>
    <w:rsid w:val="73B056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6289"/>
  <w14:defaultImageDpi w14:val="300"/>
  <w15:docId w15:val="{93058F8B-C5BA-E649-BD96-E3050993B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tleCustom" w:customStyle="1">
    <w:name w:val="TitleCustom"/>
    <w:basedOn w:val="Normal"/>
    <w:pPr>
      <w:spacing w:after="80"/>
    </w:pPr>
    <w:rPr>
      <w:b/>
      <w:color w:val="1F4E79"/>
      <w:sz w:val="42"/>
    </w:rPr>
  </w:style>
  <w:style w:type="paragraph" w:styleId="SubtitleCustom" w:customStyle="1">
    <w:name w:val="SubtitleCustom"/>
    <w:basedOn w:val="Normal"/>
    <w:pPr>
      <w:spacing w:after="240"/>
    </w:pPr>
    <w:rPr>
      <w:color w:val="5C6B7A"/>
    </w:rPr>
  </w:style>
  <w:style w:type="paragraph" w:styleId="SectionCustom" w:customStyle="1">
    <w:name w:val="SectionCustom"/>
    <w:basedOn w:val="Normal"/>
    <w:pPr>
      <w:spacing w:before="240" w:after="120"/>
    </w:pPr>
    <w:rPr>
      <w:b/>
      <w:color w:val="1F4E79"/>
      <w:sz w:val="26"/>
    </w:rPr>
  </w:style>
  <w:style w:type="paragraph" w:styleId="SubsectionCustom" w:customStyle="1">
    <w:name w:val="SubsectionCustom"/>
    <w:basedOn w:val="Normal"/>
    <w:pPr>
      <w:spacing w:before="160" w:after="80"/>
    </w:pPr>
    <w:rPr>
      <w:b/>
      <w:color w:val="203040"/>
      <w:sz w:val="22"/>
    </w:rPr>
  </w:style>
  <w:style w:type="paragraph" w:styleId="BodyCustom" w:customStyle="1">
    <w:name w:val="BodyCustom"/>
    <w:basedOn w:val="Normal"/>
    <w:pPr>
      <w:spacing w:after="100"/>
    </w:pPr>
  </w:style>
  <w:style w:type="paragraph" w:styleId="BulletCustom" w:customStyle="1">
    <w:name w:val="BulletCustom"/>
    <w:basedOn w:val="Normal"/>
    <w:pPr>
      <w:spacing w:after="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601684506616B4AA25ACEAB11E18AF3" ma:contentTypeVersion="11" ma:contentTypeDescription="Create a new document." ma:contentTypeScope="" ma:versionID="597525ad70e0a0f43a376c2ea30524fe">
  <xsd:schema xmlns:xsd="http://www.w3.org/2001/XMLSchema" xmlns:xs="http://www.w3.org/2001/XMLSchema" xmlns:p="http://schemas.microsoft.com/office/2006/metadata/properties" xmlns:ns2="33059d93-2309-41ed-9b34-ca808a9b9e01" xmlns:ns3="f16b3a5c-980b-46e3-b815-254754dadcaf" targetNamespace="http://schemas.microsoft.com/office/2006/metadata/properties" ma:root="true" ma:fieldsID="8dd4f92f54a6369ae601a3417159086b" ns2:_="" ns3:_="">
    <xsd:import namespace="33059d93-2309-41ed-9b34-ca808a9b9e01"/>
    <xsd:import namespace="f16b3a5c-980b-46e3-b815-254754dad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59d93-2309-41ed-9b34-ca808a9b9e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f2941a-98a3-4c0a-b0e5-dcebad1f39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6b3a5c-980b-46e3-b815-254754dadc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1669ef-df6c-4b27-bee4-ea814f0aefc9}" ma:internalName="TaxCatchAll" ma:showField="CatchAllData" ma:web="f16b3a5c-980b-46e3-b815-254754dad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059d93-2309-41ed-9b34-ca808a9b9e01">
      <Terms xmlns="http://schemas.microsoft.com/office/infopath/2007/PartnerControls"/>
    </lcf76f155ced4ddcb4097134ff3c332f>
    <TaxCatchAll xmlns="f16b3a5c-980b-46e3-b815-254754dadca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F03503-CB4A-4037-B168-8F2DE7D28C3B}"/>
</file>

<file path=customXml/itemProps3.xml><?xml version="1.0" encoding="utf-8"?>
<ds:datastoreItem xmlns:ds="http://schemas.openxmlformats.org/officeDocument/2006/customXml" ds:itemID="{EC26E04E-54B7-4A36-87F3-3D814DA63CFA}"/>
</file>

<file path=customXml/itemProps4.xml><?xml version="1.0" encoding="utf-8"?>
<ds:datastoreItem xmlns:ds="http://schemas.openxmlformats.org/officeDocument/2006/customXml" ds:itemID="{88F35D49-E2A5-44C6-8402-4091CE0FDF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Shweta Yellapantula</cp:lastModifiedBy>
  <cp:revision>5</cp:revision>
  <dcterms:created xsi:type="dcterms:W3CDTF">2026-03-11T05:15:00Z</dcterms:created>
  <dcterms:modified xsi:type="dcterms:W3CDTF">2026-03-27T18:53:03Z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0x0101001601684506616B4AA25ACEAB11E18AF3</vt:lpwstr>
  </property>
  <property fmtid="{D5CDD505-2E9C-101B-9397-08002B2CF9AE}" pid="3" name="MediaServiceImageTags">
    <vt:lpwstr/>
  </property>
</Properties>
</file>