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4887" w14:textId="77777777" w:rsidR="000E790C" w:rsidRDefault="000E790C" w:rsidP="000E790C">
      <w:pPr>
        <w:pStyle w:val="Title"/>
        <w:rPr>
          <w:rFonts w:eastAsia="Arial"/>
        </w:rPr>
      </w:pPr>
      <w:r w:rsidRPr="000E790C">
        <w:rPr>
          <w:rFonts w:eastAsia="Arial"/>
        </w:rPr>
        <w:t>ADT Data Model — Open Items &amp; Gap</w:t>
      </w:r>
    </w:p>
    <w:p w14:paraId="7B792294" w14:textId="16B9EA61" w:rsidR="000E790C" w:rsidRDefault="000E790C" w:rsidP="000E790C">
      <w:pPr>
        <w:pStyle w:val="Title"/>
        <w:rPr>
          <w:rFonts w:eastAsia="Arial"/>
        </w:rPr>
      </w:pPr>
      <w:r>
        <w:rPr>
          <w:rFonts w:eastAsia="Arial"/>
        </w:rPr>
        <w:br/>
      </w:r>
      <w:r w:rsidRPr="000E790C">
        <w:rPr>
          <w:rFonts w:ascii="Arial" w:eastAsia="Arial" w:hAnsi="Arial" w:cs="Arial"/>
          <w:b/>
          <w:bCs/>
          <w:color w:val="333333"/>
          <w:sz w:val="19"/>
          <w:szCs w:val="19"/>
        </w:rPr>
        <w:t>PURPOSE</w:t>
      </w:r>
      <w:r w:rsidRPr="000E790C">
        <w:rPr>
          <w:rFonts w:ascii="Arial" w:eastAsia="Arial" w:hAnsi="Arial" w:cs="Arial"/>
          <w:color w:val="333333"/>
          <w:sz w:val="19"/>
          <w:szCs w:val="19"/>
        </w:rPr>
        <w:t>: This document captures all open design questions, pending decisions, and data gap confirmations required to finalize the ADT Silver ODS Data Model</w:t>
      </w:r>
      <w:r>
        <w:rPr>
          <w:rFonts w:ascii="Arial" w:eastAsia="Arial" w:hAnsi="Arial" w:cs="Arial"/>
          <w:i/>
          <w:iCs/>
          <w:color w:val="333333"/>
          <w:sz w:val="19"/>
          <w:szCs w:val="19"/>
        </w:rPr>
        <w:t>.</w:t>
      </w:r>
    </w:p>
    <w:p w14:paraId="025901C8" w14:textId="30285336" w:rsidR="000E790C" w:rsidRPr="000E790C" w:rsidRDefault="000E790C" w:rsidP="000E790C">
      <w:pPr>
        <w:pStyle w:val="Heading1"/>
        <w:rPr>
          <w:rFonts w:eastAsia="Arial"/>
        </w:rPr>
      </w:pPr>
      <w:r>
        <w:rPr>
          <w:rFonts w:eastAsia="Arial"/>
        </w:rPr>
        <w:t>SECTION 1 — Pending Design Decisions</w:t>
      </w:r>
    </w:p>
    <w:tbl>
      <w:tblPr>
        <w:tblW w:w="10510" w:type="dxa"/>
        <w:tblInd w:w="-890" w:type="dxa"/>
        <w:tblLook w:val="04A0" w:firstRow="1" w:lastRow="0" w:firstColumn="1" w:lastColumn="0" w:noHBand="0" w:noVBand="1"/>
      </w:tblPr>
      <w:tblGrid>
        <w:gridCol w:w="317"/>
        <w:gridCol w:w="1160"/>
        <w:gridCol w:w="3506"/>
        <w:gridCol w:w="906"/>
        <w:gridCol w:w="976"/>
        <w:gridCol w:w="3645"/>
      </w:tblGrid>
      <w:tr w:rsidR="000E790C" w:rsidRPr="000E790C" w14:paraId="6AD62989" w14:textId="77777777" w:rsidTr="000E790C">
        <w:trPr>
          <w:trHeight w:val="300"/>
        </w:trPr>
        <w:tc>
          <w:tcPr>
            <w:tcW w:w="3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85FBA3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#</w:t>
            </w:r>
          </w:p>
        </w:tc>
        <w:tc>
          <w:tcPr>
            <w:tcW w:w="11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B77BFB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350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C02093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Open Item / Question</w:t>
            </w:r>
          </w:p>
        </w:tc>
        <w:tc>
          <w:tcPr>
            <w:tcW w:w="90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F56D7B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Priority</w:t>
            </w:r>
          </w:p>
        </w:tc>
        <w:tc>
          <w:tcPr>
            <w:tcW w:w="97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19ECC8B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Status</w:t>
            </w:r>
          </w:p>
        </w:tc>
        <w:tc>
          <w:tcPr>
            <w:tcW w:w="364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419BF8D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Context</w:t>
            </w:r>
          </w:p>
        </w:tc>
      </w:tr>
      <w:tr w:rsidR="000E790C" w:rsidRPr="000E790C" w14:paraId="5B011A9C" w14:textId="77777777" w:rsidTr="000E790C">
        <w:trPr>
          <w:trHeight w:val="1006"/>
        </w:trPr>
        <w:tc>
          <w:tcPr>
            <w:tcW w:w="3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5045825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2B6422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Model Design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14D3A5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provider_id_source</w:t>
            </w:r>
            <w:proofErr w:type="spellEnd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— keep or remove? Only Optum provides this field. If kept it is Optum-only. Decision needed before provider </w:t>
            </w:r>
            <w:proofErr w:type="spellStart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dedup</w:t>
            </w:r>
            <w:proofErr w:type="spellEnd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logic is written.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7F17"/>
            <w:vAlign w:val="center"/>
            <w:hideMark/>
          </w:tcPr>
          <w:p w14:paraId="750BFB9B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MEDIUM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7C05B33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OPEN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DE7"/>
            <w:vAlign w:val="center"/>
            <w:hideMark/>
          </w:tcPr>
          <w:p w14:paraId="597790F6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 xml:space="preserve">If removed: NPI + </w:t>
            </w:r>
            <w:proofErr w:type="spellStart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>source_system</w:t>
            </w:r>
            <w:proofErr w:type="spellEnd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 xml:space="preserve"> is the </w:t>
            </w:r>
            <w:proofErr w:type="spellStart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>dedup</w:t>
            </w:r>
            <w:proofErr w:type="spellEnd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 xml:space="preserve"> key. If NPI is NULL no fallback exists for providers without NPI. If kept: acts as fallback </w:t>
            </w:r>
            <w:proofErr w:type="spellStart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>dedup</w:t>
            </w:r>
            <w:proofErr w:type="spellEnd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 xml:space="preserve"> key for Optum providers with missing NPI.</w:t>
            </w:r>
          </w:p>
        </w:tc>
      </w:tr>
      <w:tr w:rsidR="000E790C" w:rsidRPr="000E790C" w14:paraId="50F3C5EE" w14:textId="77777777" w:rsidTr="000E790C">
        <w:trPr>
          <w:trHeight w:val="1240"/>
        </w:trPr>
        <w:tc>
          <w:tcPr>
            <w:tcW w:w="3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54D30B1" w14:textId="3F66D290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D519B2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Model Design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EBA822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delivery_flag</w:t>
            </w:r>
            <w:proofErr w:type="spellEnd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on </w:t>
            </w:r>
            <w:proofErr w:type="spellStart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encounter_cinq_ext</w:t>
            </w:r>
            <w:proofErr w:type="spellEnd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— keep in Silver ODS, move to Gold, or remove? No ADT source provides this — it is care team entered. Business decision required.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B5E20"/>
            <w:vAlign w:val="center"/>
            <w:hideMark/>
          </w:tcPr>
          <w:p w14:paraId="554FCCD1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LOW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1715819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OPEN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DE7"/>
            <w:vAlign w:val="center"/>
            <w:hideMark/>
          </w:tcPr>
          <w:p w14:paraId="244D9FA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 xml:space="preserve">Currently in </w:t>
            </w:r>
            <w:proofErr w:type="spellStart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>encounter_cinq_ext</w:t>
            </w:r>
            <w:proofErr w:type="spellEnd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 xml:space="preserve"> flagged as open for discussion. If it stays it is care team entry only. If moved to Gold it becomes a derived/business rule field.</w:t>
            </w:r>
          </w:p>
        </w:tc>
      </w:tr>
      <w:tr w:rsidR="000E790C" w:rsidRPr="000E790C" w14:paraId="33E03001" w14:textId="77777777" w:rsidTr="000E790C">
        <w:trPr>
          <w:trHeight w:val="880"/>
        </w:trPr>
        <w:tc>
          <w:tcPr>
            <w:tcW w:w="3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BA73DD8" w14:textId="7174046C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9FC5CF6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Mirth / Phase 2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1872CE0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Will Mirth be configured to capture A02 Transfer events? Required to populate </w:t>
            </w:r>
            <w:proofErr w:type="spellStart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encounter_location_history</w:t>
            </w:r>
            <w:proofErr w:type="spellEnd"/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(Phase 2 table). Steve was not sure — needs business decision.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7F17"/>
            <w:vAlign w:val="center"/>
            <w:hideMark/>
          </w:tcPr>
          <w:p w14:paraId="3CF3AE62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MEDIUM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B75BDCA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OPEN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DE7"/>
            <w:vAlign w:val="center"/>
            <w:hideMark/>
          </w:tcPr>
          <w:p w14:paraId="1EFEE69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>Table schema is defined and ready. Will remain empty until Mirth is reconfigured. Phase 2 — not blocking Phase 1 delivery.</w:t>
            </w:r>
          </w:p>
        </w:tc>
      </w:tr>
      <w:tr w:rsidR="000E790C" w:rsidRPr="000E790C" w14:paraId="48556D0D" w14:textId="77777777" w:rsidTr="000E790C">
        <w:trPr>
          <w:trHeight w:val="1177"/>
        </w:trPr>
        <w:tc>
          <w:tcPr>
            <w:tcW w:w="3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A9E5C59" w14:textId="01860863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8498ED5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Data Backfill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8F96CAD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Where is the historical HL7 message archive? Needed to backfill Bronze Delta tables with all historical ADT events — not just going forward from pipeline go-live.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71C1C"/>
            <w:vAlign w:val="center"/>
            <w:hideMark/>
          </w:tcPr>
          <w:p w14:paraId="5ED3E45E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HIGH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ECC2F1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OPEN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EBEE"/>
            <w:vAlign w:val="center"/>
            <w:hideMark/>
          </w:tcPr>
          <w:p w14:paraId="72FF546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>Without backfill the model only has data from pipeline go-live date forward. Historical data remains in current SQL Server master tables which are being decommissioned.</w:t>
            </w:r>
          </w:p>
        </w:tc>
      </w:tr>
      <w:tr w:rsidR="000E790C" w:rsidRPr="000E790C" w14:paraId="7CFE55E9" w14:textId="77777777" w:rsidTr="000E790C">
        <w:trPr>
          <w:trHeight w:val="1429"/>
        </w:trPr>
        <w:tc>
          <w:tcPr>
            <w:tcW w:w="31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0456BB6" w14:textId="269644E0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A237E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241CC61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Pipeline Testing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14A85F9" w14:textId="5638D9F9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Blob Storage container details shared with Steve for testing. Need at least one sample JSON per HL7 source to validate Bronze ingestion notebook.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71C1C"/>
            <w:vAlign w:val="center"/>
            <w:hideMark/>
          </w:tcPr>
          <w:p w14:paraId="6E5E2584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7"/>
                <w:szCs w:val="17"/>
                <w14:ligatures w14:val="none"/>
              </w:rPr>
              <w:t>HIGH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D229A6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14:ligatures w14:val="none"/>
              </w:rPr>
              <w:t>OPEN</w:t>
            </w:r>
          </w:p>
        </w:tc>
        <w:tc>
          <w:tcPr>
            <w:tcW w:w="364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EBEE"/>
            <w:vAlign w:val="center"/>
            <w:hideMark/>
          </w:tcPr>
          <w:p w14:paraId="15947FF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 xml:space="preserve">Sample JSON files needed to: (1) confirm field names in </w:t>
            </w:r>
            <w:proofErr w:type="spellStart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>raw_payload</w:t>
            </w:r>
            <w:proofErr w:type="spellEnd"/>
            <w:r w:rsidRPr="000E790C">
              <w:rPr>
                <w:rFonts w:ascii="Arial" w:eastAsia="Times New Roman" w:hAnsi="Arial" w:cs="Arial"/>
                <w:color w:val="555555"/>
                <w:kern w:val="0"/>
                <w:sz w:val="17"/>
                <w:szCs w:val="17"/>
                <w14:ligatures w14:val="none"/>
              </w:rPr>
              <w:t>, (2) confirm datetime vs date format per source, (3) build and test Silver Raw ETL notebook.</w:t>
            </w:r>
          </w:p>
        </w:tc>
      </w:tr>
    </w:tbl>
    <w:p w14:paraId="387E09F0" w14:textId="77777777" w:rsidR="000E790C" w:rsidRDefault="000E790C" w:rsidP="000E790C"/>
    <w:p w14:paraId="350A6EA1" w14:textId="77777777" w:rsidR="000E790C" w:rsidRDefault="000E790C" w:rsidP="000E790C"/>
    <w:p w14:paraId="5F01F893" w14:textId="77777777" w:rsidR="000E790C" w:rsidRDefault="000E790C" w:rsidP="000E790C"/>
    <w:p w14:paraId="3A977C81" w14:textId="77777777" w:rsidR="000E790C" w:rsidRDefault="000E790C" w:rsidP="000E790C"/>
    <w:p w14:paraId="1703AA42" w14:textId="77777777" w:rsidR="000E790C" w:rsidRDefault="000E790C" w:rsidP="000E790C"/>
    <w:p w14:paraId="570B5780" w14:textId="6928BC70" w:rsidR="000E790C" w:rsidRPr="000E790C" w:rsidRDefault="000E790C" w:rsidP="000E790C">
      <w:pPr>
        <w:pStyle w:val="Heading1"/>
      </w:pPr>
      <w:r w:rsidRPr="000E790C">
        <w:lastRenderedPageBreak/>
        <w:t>SECTION 2 — Data Gap Confirmation</w:t>
      </w:r>
    </w:p>
    <w:tbl>
      <w:tblPr>
        <w:tblpPr w:leftFromText="180" w:rightFromText="180" w:vertAnchor="text" w:horzAnchor="margin" w:tblpXSpec="right" w:tblpY="853"/>
        <w:tblW w:w="9890" w:type="dxa"/>
        <w:tblLook w:val="04A0" w:firstRow="1" w:lastRow="0" w:firstColumn="1" w:lastColumn="0" w:noHBand="0" w:noVBand="1"/>
      </w:tblPr>
      <w:tblGrid>
        <w:gridCol w:w="498"/>
        <w:gridCol w:w="1351"/>
        <w:gridCol w:w="2925"/>
        <w:gridCol w:w="5116"/>
      </w:tblGrid>
      <w:tr w:rsidR="000E790C" w:rsidRPr="000E790C" w14:paraId="10A5A90D" w14:textId="77777777" w:rsidTr="1D0CCF54">
        <w:trPr>
          <w:trHeight w:val="470"/>
        </w:trPr>
        <w:tc>
          <w:tcPr>
            <w:tcW w:w="4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237E"/>
            <w:vAlign w:val="center"/>
            <w:hideMark/>
          </w:tcPr>
          <w:p w14:paraId="330B3697" w14:textId="77777777" w:rsidR="000E790C" w:rsidRPr="000E790C" w:rsidRDefault="000E790C" w:rsidP="000E790C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#</w:t>
            </w:r>
          </w:p>
        </w:tc>
        <w:tc>
          <w:tcPr>
            <w:tcW w:w="135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237E"/>
            <w:vAlign w:val="center"/>
            <w:hideMark/>
          </w:tcPr>
          <w:p w14:paraId="503A07AF" w14:textId="77777777" w:rsidR="000E790C" w:rsidRPr="000E790C" w:rsidRDefault="000E790C" w:rsidP="000E790C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Source</w:t>
            </w:r>
          </w:p>
        </w:tc>
        <w:tc>
          <w:tcPr>
            <w:tcW w:w="292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237E"/>
            <w:vAlign w:val="center"/>
            <w:hideMark/>
          </w:tcPr>
          <w:p w14:paraId="5D45B3B1" w14:textId="77777777" w:rsidR="000E790C" w:rsidRPr="000E790C" w:rsidRDefault="000E790C" w:rsidP="000E790C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Field / Column</w:t>
            </w:r>
          </w:p>
        </w:tc>
        <w:tc>
          <w:tcPr>
            <w:tcW w:w="511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1A237E"/>
            <w:vAlign w:val="center"/>
            <w:hideMark/>
          </w:tcPr>
          <w:p w14:paraId="560B7573" w14:textId="77777777" w:rsidR="000E790C" w:rsidRPr="000E790C" w:rsidRDefault="000E790C" w:rsidP="000E790C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Question</w:t>
            </w:r>
          </w:p>
        </w:tc>
      </w:tr>
      <w:tr w:rsidR="000E790C" w:rsidRPr="000E790C" w14:paraId="70ECB843" w14:textId="77777777" w:rsidTr="1D0CCF54">
        <w:trPr>
          <w:trHeight w:val="483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3E531D42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1596360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EA3AE91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MemberHICN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86CCC7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Medicare Health Insurance Claim Number — confirm if populated in production data</w:t>
            </w:r>
          </w:p>
        </w:tc>
      </w:tr>
      <w:tr w:rsidR="000E790C" w:rsidRPr="000E790C" w14:paraId="6CF9E35A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4465C3AC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0F10758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5797FE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MemberMiddleName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12D96AB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Middle name — confirm if consistently populated across Optum records</w:t>
            </w:r>
          </w:p>
        </w:tc>
      </w:tr>
      <w:tr w:rsidR="000E790C" w:rsidRPr="000E790C" w14:paraId="0F859CAF" w14:textId="77777777" w:rsidTr="1D0CCF54">
        <w:trPr>
          <w:trHeight w:val="45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4993ED9A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4B0F1B2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1D91FB8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MemberSuffix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46AC7F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Name suffix — confirm if populated</w:t>
            </w:r>
          </w:p>
        </w:tc>
      </w:tr>
      <w:tr w:rsidR="000E790C" w:rsidRPr="000E790C" w14:paraId="65CFA9B6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13D88C2A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7585EFA3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E472BE3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FacilityID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7B6B7E0D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Optum internal facility ID — confirm value format and uniqueness</w:t>
            </w:r>
          </w:p>
        </w:tc>
      </w:tr>
      <w:tr w:rsidR="000E790C" w:rsidRPr="000E790C" w14:paraId="1F772669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6AAEA805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4970C02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588671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AuthorizationReferenceNumber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5CE6DB4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Auth reference number — confirm populated and format</w:t>
            </w:r>
          </w:p>
        </w:tc>
      </w:tr>
      <w:tr w:rsidR="000E790C" w:rsidRPr="000E790C" w14:paraId="6D5F86CB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39094809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341D5C75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6570D08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AuthorizationStatus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3FC33E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Auth status — confirm values (Covered / Approved / Denied etc.)</w:t>
            </w:r>
          </w:p>
        </w:tc>
      </w:tr>
      <w:tr w:rsidR="000E790C" w:rsidRPr="000E790C" w14:paraId="43F12999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04C31934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4BAA9251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69BC10A1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AuthorizedLengthofStay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6ED6DD35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Auth LOS — confirm format (days as integer or string)</w:t>
            </w:r>
          </w:p>
        </w:tc>
      </w:tr>
      <w:tr w:rsidR="000E790C" w:rsidRPr="000E790C" w14:paraId="4683E01C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15D5A96D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40D1821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40781E0B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PrimaryDiagnosisCode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5B25719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Primary ICD-10 — confirm populated and ICD version (9 vs 10)</w:t>
            </w:r>
          </w:p>
        </w:tc>
      </w:tr>
      <w:tr w:rsidR="000E790C" w:rsidRPr="000E790C" w14:paraId="611FB264" w14:textId="77777777" w:rsidTr="1D0CCF54">
        <w:trPr>
          <w:trHeight w:val="89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4C3970BB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52A6989D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EBEE"/>
            <w:vAlign w:val="center"/>
            <w:hideMark/>
          </w:tcPr>
          <w:p w14:paraId="5C39A15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  <w:t>PCPNPI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EBEE"/>
            <w:vAlign w:val="center"/>
            <w:hideMark/>
          </w:tcPr>
          <w:p w14:paraId="29EF6C6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 xml:space="preserve">PCP NPI — confirm consistently populated — CRITICAL gap in </w:t>
            </w:r>
            <w:proofErr w:type="spellStart"/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DailyCensus</w:t>
            </w:r>
            <w:proofErr w:type="spellEnd"/>
          </w:p>
        </w:tc>
      </w:tr>
      <w:tr w:rsidR="000E790C" w:rsidRPr="000E790C" w14:paraId="22C22C18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180B9EE4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10DB4E46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485684C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PCPProviderID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A31C793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Optum internal PCP ID — confirm if we need this given PCPNPI</w:t>
            </w:r>
          </w:p>
        </w:tc>
      </w:tr>
      <w:tr w:rsidR="000E790C" w:rsidRPr="000E790C" w14:paraId="62F3EC97" w14:textId="77777777" w:rsidTr="1D0CCF54">
        <w:trPr>
          <w:trHeight w:val="45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0E225875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56A83BC5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F09E86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PCPGroupTIN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A25B095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PCP group TIN — confirm populated</w:t>
            </w:r>
          </w:p>
        </w:tc>
      </w:tr>
      <w:tr w:rsidR="000E790C" w:rsidRPr="000E790C" w14:paraId="36AF9841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42C839FE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166596A6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52511BD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PCPPhone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CA52600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PCP phone — confirm format and population rate</w:t>
            </w:r>
          </w:p>
        </w:tc>
      </w:tr>
      <w:tr w:rsidR="000E790C" w:rsidRPr="000E790C" w14:paraId="5547DE82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0970CFAE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47DC066D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5EEF509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MarketName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1DF4D97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Optum market name — confirm values and if useful for analytics</w:t>
            </w:r>
          </w:p>
        </w:tc>
      </w:tr>
      <w:tr w:rsidR="000E790C" w:rsidRPr="000E790C" w14:paraId="05EFE5BF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412FFC1D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68E7CB0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1F6504B1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OahDual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171CDC6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Dual eligibility flag — confirm values (Y/N or True/False)</w:t>
            </w:r>
          </w:p>
        </w:tc>
      </w:tr>
      <w:tr w:rsidR="000E790C" w:rsidRPr="000E790C" w14:paraId="49A185D6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5F4D886F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E3F2FD"/>
            <w:vAlign w:val="center"/>
            <w:hideMark/>
          </w:tcPr>
          <w:p w14:paraId="3C77EA91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0D47A1"/>
                <w:kern w:val="0"/>
                <w:sz w:val="17"/>
                <w:szCs w:val="17"/>
                <w14:ligatures w14:val="none"/>
              </w:rPr>
              <w:t>Optum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5F6E87E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MORTALITY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E6090D8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Mortality risk level — confirm values and population rate</w:t>
            </w:r>
          </w:p>
        </w:tc>
      </w:tr>
      <w:tr w:rsidR="000E790C" w:rsidRPr="000E790C" w14:paraId="07876A1A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549834A3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6E283F8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EBEE"/>
            <w:vAlign w:val="center"/>
            <w:hideMark/>
          </w:tcPr>
          <w:p w14:paraId="1919467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  <w:t>pcp_npi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EBEE"/>
            <w:vAlign w:val="center"/>
            <w:hideMark/>
          </w:tcPr>
          <w:p w14:paraId="79B09D1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 xml:space="preserve">PCP NPI — confirm populated — CRITICAL gap in </w:t>
            </w:r>
            <w:proofErr w:type="spellStart"/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DailyCensus</w:t>
            </w:r>
            <w:proofErr w:type="spellEnd"/>
          </w:p>
        </w:tc>
      </w:tr>
      <w:tr w:rsidR="000E790C" w:rsidRPr="000E790C" w14:paraId="2373F9B6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70FE2CE7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lastRenderedPageBreak/>
              <w:t>17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620D825E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B4F3215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pcp_phone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6841129D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PCP phone — confirm format and population rate</w:t>
            </w:r>
          </w:p>
        </w:tc>
      </w:tr>
      <w:tr w:rsidR="000E790C" w:rsidRPr="000E790C" w14:paraId="5380A5DB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333F8B71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27D53D1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A95DA20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facility_county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1DDC2A3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Facility county — confirm populated and if needed</w:t>
            </w:r>
          </w:p>
        </w:tc>
      </w:tr>
      <w:tr w:rsidR="000E790C" w:rsidRPr="000E790C" w14:paraId="55D817ED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096796B5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19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660D508E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7D83745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confine_status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CCD2A2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UM confinement status — confirm all value codes (DS / AR etc.)</w:t>
            </w:r>
          </w:p>
        </w:tc>
      </w:tr>
      <w:tr w:rsidR="000E790C" w:rsidRPr="000E790C" w14:paraId="60338E59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5E1ACA8B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44D92278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590C259E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auth_id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420BF7F0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Authorization ID — confirm format and population</w:t>
            </w:r>
          </w:p>
        </w:tc>
      </w:tr>
      <w:tr w:rsidR="000E790C" w:rsidRPr="000E790C" w14:paraId="000DD597" w14:textId="77777777" w:rsidTr="1D0CCF54">
        <w:trPr>
          <w:trHeight w:val="45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34E8D635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636E7BFB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0972606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auth_los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619A85D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Authorized LOS — confirm format</w:t>
            </w:r>
          </w:p>
        </w:tc>
      </w:tr>
      <w:tr w:rsidR="000E790C" w:rsidRPr="000E790C" w14:paraId="0A216E01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2DC7A9B8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5FC6C39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674A9E3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plan_id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4A3C74C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Fidelis plan ID — confirm values and mapping to LOB</w:t>
            </w:r>
          </w:p>
        </w:tc>
      </w:tr>
      <w:tr w:rsidR="000E790C" w:rsidRPr="000E790C" w14:paraId="7AC3797E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3F85C31A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099A92C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9FD2646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vbp_id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4FB2005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VBP contract ID — confirm populated and business meaning</w:t>
            </w:r>
          </w:p>
        </w:tc>
      </w:tr>
      <w:tr w:rsidR="000E790C" w:rsidRPr="000E790C" w14:paraId="0463AFD7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3818D4F4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2BAE69FC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5D24BE1D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sub_group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659E490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Sub-group — confirm values and business meaning</w:t>
            </w:r>
          </w:p>
        </w:tc>
      </w:tr>
      <w:tr w:rsidR="000E790C" w:rsidRPr="000E790C" w14:paraId="087FFFB2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7F5D83F9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419CE27D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AA9B924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diabetic_indicator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1C306AD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Diabetic flag — confirm population rate and Y/N enforcement</w:t>
            </w:r>
          </w:p>
        </w:tc>
      </w:tr>
      <w:tr w:rsidR="000E790C" w:rsidRPr="000E790C" w14:paraId="1B057795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3181029E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3D4E2EA8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7B60B2E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high_alert_30d_readmit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47BC39E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30-day readmit alert — confirm business logic that sets Y/N</w:t>
            </w:r>
          </w:p>
        </w:tc>
      </w:tr>
      <w:tr w:rsidR="000E790C" w:rsidRPr="000E790C" w14:paraId="42E9E8D5" w14:textId="77777777" w:rsidTr="1D0CCF54">
        <w:trPr>
          <w:trHeight w:val="89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3BC958DC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3662BF9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55C211B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health_home_id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A6EACD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Health home ID — confirm format (</w:t>
            </w:r>
            <w:proofErr w:type="spellStart"/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DailyCensus</w:t>
            </w:r>
            <w:proofErr w:type="spellEnd"/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 xml:space="preserve"> only had Y/N flag)</w:t>
            </w:r>
          </w:p>
        </w:tc>
      </w:tr>
      <w:tr w:rsidR="000E790C" w:rsidRPr="000E790C" w14:paraId="4CDBFB6D" w14:textId="77777777" w:rsidTr="1D0CCF54">
        <w:trPr>
          <w:trHeight w:val="45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229611B7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28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8E1"/>
            <w:vAlign w:val="center"/>
            <w:hideMark/>
          </w:tcPr>
          <w:p w14:paraId="72326741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E65100"/>
                <w:kern w:val="0"/>
                <w:sz w:val="17"/>
                <w:szCs w:val="17"/>
                <w14:ligatures w14:val="none"/>
              </w:rPr>
              <w:t>Fidelis UM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12B0174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health_home_name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87A09F0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Health home name — confirm populated</w:t>
            </w:r>
          </w:p>
        </w:tc>
      </w:tr>
      <w:tr w:rsidR="000E790C" w:rsidRPr="000E790C" w14:paraId="7F3CB5B2" w14:textId="77777777" w:rsidTr="1D0CCF54">
        <w:trPr>
          <w:trHeight w:val="89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2E496A20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29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3E5F5"/>
            <w:vAlign w:val="center"/>
            <w:hideMark/>
          </w:tcPr>
          <w:p w14:paraId="51792C2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  <w:t>HL7 (all 7)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EBEE"/>
            <w:vAlign w:val="center"/>
            <w:hideMark/>
          </w:tcPr>
          <w:p w14:paraId="30A0E9C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  <w:t>VisitNumber</w:t>
            </w:r>
            <w:proofErr w:type="spellEnd"/>
            <w:r w:rsidRPr="000E790C"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  <w:t xml:space="preserve"> (PV1-19)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EBEE"/>
            <w:vAlign w:val="center"/>
            <w:hideMark/>
          </w:tcPr>
          <w:p w14:paraId="2834736C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 xml:space="preserve">CRITICAL — existed in all sources, never in </w:t>
            </w:r>
            <w:proofErr w:type="spellStart"/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DailyCensus</w:t>
            </w:r>
            <w:proofErr w:type="spellEnd"/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. Confirm Mirth extracts this field</w:t>
            </w:r>
          </w:p>
        </w:tc>
      </w:tr>
      <w:tr w:rsidR="000E790C" w:rsidRPr="000E790C" w14:paraId="0B5D2BF0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57136819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30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3E5F5"/>
            <w:vAlign w:val="center"/>
            <w:hideMark/>
          </w:tcPr>
          <w:p w14:paraId="1E8D596E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  <w:t>HL7 (Garage)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FAC9C5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AdmitSource</w:t>
            </w:r>
            <w:proofErr w:type="spellEnd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 xml:space="preserve"> (PV1-14)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BF6851C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Admission source — confirm Garage provides and values</w:t>
            </w:r>
          </w:p>
        </w:tc>
      </w:tr>
      <w:tr w:rsidR="000E790C" w:rsidRPr="000E790C" w14:paraId="3080F4EF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106B4279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31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3E5F5"/>
            <w:vAlign w:val="center"/>
            <w:hideMark/>
          </w:tcPr>
          <w:p w14:paraId="7DE1DCD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  <w:t>HL7 (all 7)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5CE22FD8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DischargeDispositionDesc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6C526887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Discharge description — confirm field name in Mirth JSON per source</w:t>
            </w:r>
          </w:p>
        </w:tc>
      </w:tr>
      <w:tr w:rsidR="000E790C" w:rsidRPr="000E790C" w14:paraId="32B44F33" w14:textId="77777777" w:rsidTr="1D0CCF54">
        <w:trPr>
          <w:trHeight w:val="89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5E415242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32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3E5F5"/>
            <w:vAlign w:val="center"/>
            <w:hideMark/>
          </w:tcPr>
          <w:p w14:paraId="0AFD9B3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  <w:t>HL7 (Garage)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E38AD1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FacilityNPI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1F559EA8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 xml:space="preserve">Facility NPI embedded in </w:t>
            </w:r>
            <w:proofErr w:type="spellStart"/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facility_name_npi</w:t>
            </w:r>
            <w:proofErr w:type="spellEnd"/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 xml:space="preserve"> — confirm parsing logic with Steve</w:t>
            </w:r>
          </w:p>
        </w:tc>
      </w:tr>
      <w:tr w:rsidR="000E790C" w:rsidRPr="000E790C" w14:paraId="6EBB0480" w14:textId="77777777" w:rsidTr="1D0CCF54">
        <w:trPr>
          <w:trHeight w:val="89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4A4F2BE5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33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3E5F5"/>
            <w:vAlign w:val="center"/>
            <w:hideMark/>
          </w:tcPr>
          <w:p w14:paraId="5A53DE43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  <w:t>HL7 (all 7)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EBEE"/>
            <w:vAlign w:val="center"/>
            <w:hideMark/>
          </w:tcPr>
          <w:p w14:paraId="5E8283A9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B71C1C"/>
                <w:kern w:val="0"/>
                <w:sz w:val="17"/>
                <w:szCs w:val="17"/>
                <w14:ligatures w14:val="none"/>
              </w:rPr>
              <w:t>PCPNPI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EBEE"/>
            <w:vAlign w:val="center"/>
            <w:hideMark/>
          </w:tcPr>
          <w:p w14:paraId="5001C3A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PCP NPI — CRITICAL — confirm Mirth extracts from HL7 for all 7 sources</w:t>
            </w:r>
          </w:p>
        </w:tc>
      </w:tr>
      <w:tr w:rsidR="000E790C" w:rsidRPr="000E790C" w14:paraId="59424112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17A89CDC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t>34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3E5F5"/>
            <w:vAlign w:val="center"/>
            <w:hideMark/>
          </w:tcPr>
          <w:p w14:paraId="3A966F3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  <w:t>HL7 (all 7)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3835CC9A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PCPGroupTIN</w:t>
            </w:r>
            <w:proofErr w:type="spellEnd"/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02F7033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PCP group TIN — confirm available in HL7 messages</w:t>
            </w:r>
          </w:p>
        </w:tc>
      </w:tr>
      <w:tr w:rsidR="000E790C" w:rsidRPr="000E790C" w14:paraId="14B56D89" w14:textId="77777777" w:rsidTr="1D0CCF54">
        <w:trPr>
          <w:trHeight w:val="670"/>
        </w:trPr>
        <w:tc>
          <w:tcPr>
            <w:tcW w:w="4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  <w:hideMark/>
          </w:tcPr>
          <w:p w14:paraId="5DC73A50" w14:textId="77777777" w:rsidR="000E790C" w:rsidRPr="000E790C" w:rsidRDefault="000E790C" w:rsidP="000E79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1A237E"/>
                <w:kern w:val="0"/>
                <w:sz w:val="17"/>
                <w:szCs w:val="17"/>
                <w14:ligatures w14:val="none"/>
              </w:rPr>
              <w:lastRenderedPageBreak/>
              <w:t>35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3E5F5"/>
            <w:vAlign w:val="center"/>
            <w:hideMark/>
          </w:tcPr>
          <w:p w14:paraId="3F14F9B0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b/>
                <w:bCs/>
                <w:color w:val="4A148C"/>
                <w:kern w:val="0"/>
                <w:sz w:val="17"/>
                <w:szCs w:val="17"/>
                <w14:ligatures w14:val="none"/>
              </w:rPr>
              <w:t>HL7 (all 7)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22BB9A9F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</w:pPr>
            <w:proofErr w:type="spellStart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>MiddleName</w:t>
            </w:r>
            <w:proofErr w:type="spellEnd"/>
            <w:r w:rsidRPr="000E790C">
              <w:rPr>
                <w:rFonts w:ascii="Arial" w:eastAsia="Times New Roman" w:hAnsi="Arial" w:cs="Arial"/>
                <w:b/>
                <w:bCs/>
                <w:color w:val="1A1A2E"/>
                <w:kern w:val="0"/>
                <w:sz w:val="17"/>
                <w:szCs w:val="17"/>
                <w14:ligatures w14:val="none"/>
              </w:rPr>
              <w:t xml:space="preserve"> (PID-5)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vAlign w:val="center"/>
            <w:hideMark/>
          </w:tcPr>
          <w:p w14:paraId="12279CC2" w14:textId="77777777" w:rsidR="000E790C" w:rsidRPr="000E790C" w:rsidRDefault="000E790C" w:rsidP="000E790C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</w:pPr>
            <w:r w:rsidRPr="000E790C">
              <w:rPr>
                <w:rFonts w:ascii="Arial" w:eastAsia="Times New Roman" w:hAnsi="Arial" w:cs="Arial"/>
                <w:color w:val="333333"/>
                <w:kern w:val="0"/>
                <w:sz w:val="17"/>
                <w:szCs w:val="17"/>
                <w14:ligatures w14:val="none"/>
              </w:rPr>
              <w:t>Member middle name — confirm Mirth extracts from PID-5</w:t>
            </w:r>
          </w:p>
        </w:tc>
      </w:tr>
    </w:tbl>
    <w:p w14:paraId="6F611574" w14:textId="77777777" w:rsidR="000E790C" w:rsidRDefault="000E790C" w:rsidP="000E790C">
      <w:pPr>
        <w:pStyle w:val="Heading2"/>
      </w:pPr>
    </w:p>
    <w:p w14:paraId="59DC592D" w14:textId="71309215" w:rsidR="000E790C" w:rsidRDefault="000E790C" w:rsidP="000E790C">
      <w:pPr>
        <w:pStyle w:val="Heading2"/>
        <w:rPr>
          <w:rFonts w:eastAsia="Arial"/>
        </w:rPr>
      </w:pPr>
      <w:r>
        <w:br/>
      </w:r>
    </w:p>
    <w:p w14:paraId="6669ECD9" w14:textId="77777777" w:rsidR="000E790C" w:rsidRPr="000E790C" w:rsidRDefault="000E790C" w:rsidP="000E790C"/>
    <w:p w14:paraId="69051912" w14:textId="563A290B" w:rsidR="000E790C" w:rsidRPr="000E790C" w:rsidRDefault="000E790C" w:rsidP="000E790C"/>
    <w:sectPr w:rsidR="000E790C" w:rsidRPr="000E7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0C"/>
    <w:rsid w:val="000A432F"/>
    <w:rsid w:val="000E790C"/>
    <w:rsid w:val="0027611F"/>
    <w:rsid w:val="003F00BA"/>
    <w:rsid w:val="006C7C99"/>
    <w:rsid w:val="00885262"/>
    <w:rsid w:val="00947721"/>
    <w:rsid w:val="00D16A15"/>
    <w:rsid w:val="1D0CC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638F"/>
  <w15:chartTrackingRefBased/>
  <w15:docId w15:val="{0115DB1C-D996-4FFC-A937-D26FA4FF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059d93-2309-41ed-9b34-ca808a9b9e01">
      <Terms xmlns="http://schemas.microsoft.com/office/infopath/2007/PartnerControls"/>
    </lcf76f155ced4ddcb4097134ff3c332f>
    <TaxCatchAll xmlns="f16b3a5c-980b-46e3-b815-254754dad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1684506616B4AA25ACEAB11E18AF3" ma:contentTypeVersion="11" ma:contentTypeDescription="Create a new document." ma:contentTypeScope="" ma:versionID="597525ad70e0a0f43a376c2ea30524fe">
  <xsd:schema xmlns:xsd="http://www.w3.org/2001/XMLSchema" xmlns:xs="http://www.w3.org/2001/XMLSchema" xmlns:p="http://schemas.microsoft.com/office/2006/metadata/properties" xmlns:ns2="33059d93-2309-41ed-9b34-ca808a9b9e01" xmlns:ns3="f16b3a5c-980b-46e3-b815-254754dadcaf" targetNamespace="http://schemas.microsoft.com/office/2006/metadata/properties" ma:root="true" ma:fieldsID="8dd4f92f54a6369ae601a3417159086b" ns2:_="" ns3:_="">
    <xsd:import namespace="33059d93-2309-41ed-9b34-ca808a9b9e01"/>
    <xsd:import namespace="f16b3a5c-980b-46e3-b815-254754dadc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9d93-2309-41ed-9b34-ca808a9b9e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1f2941a-98a3-4c0a-b0e5-dcebad1f3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b3a5c-980b-46e3-b815-254754dadc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1669ef-df6c-4b27-bee4-ea814f0aefc9}" ma:internalName="TaxCatchAll" ma:showField="CatchAllData" ma:web="f16b3a5c-980b-46e3-b815-254754dad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047542-3A2C-4075-9D6C-6EE39D7BF420}">
  <ds:schemaRefs>
    <ds:schemaRef ds:uri="http://schemas.microsoft.com/office/2006/metadata/properties"/>
    <ds:schemaRef ds:uri="http://schemas.microsoft.com/office/infopath/2007/PartnerControls"/>
    <ds:schemaRef ds:uri="33059d93-2309-41ed-9b34-ca808a9b9e01"/>
    <ds:schemaRef ds:uri="f16b3a5c-980b-46e3-b815-254754dadcaf"/>
  </ds:schemaRefs>
</ds:datastoreItem>
</file>

<file path=customXml/itemProps2.xml><?xml version="1.0" encoding="utf-8"?>
<ds:datastoreItem xmlns:ds="http://schemas.openxmlformats.org/officeDocument/2006/customXml" ds:itemID="{A1DCAB3E-565D-47BE-A9BA-30A74FBA0D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DEF8F-1D74-4F48-916B-FD1D42D02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059d93-2309-41ed-9b34-ca808a9b9e01"/>
    <ds:schemaRef ds:uri="f16b3a5c-980b-46e3-b815-254754dadc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774</Words>
  <Characters>4238</Characters>
  <Application>Microsoft Office Word</Application>
  <DocSecurity>0</DocSecurity>
  <Lines>242</Lines>
  <Paragraphs>184</Paragraphs>
  <ScaleCrop>false</ScaleCrop>
  <Company>CinqCare</Company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Ram</dc:creator>
  <cp:keywords/>
  <dc:description/>
  <cp:lastModifiedBy>Monica Ram</cp:lastModifiedBy>
  <cp:revision>4</cp:revision>
  <dcterms:created xsi:type="dcterms:W3CDTF">2026-04-16T02:00:00Z</dcterms:created>
  <dcterms:modified xsi:type="dcterms:W3CDTF">2026-04-22T12:40:00Z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0x0101001601684506616B4AA25ACEAB11E18AF3</vt:lpwstr>
  </property>
  <property fmtid="{D5CDD505-2E9C-101B-9397-08002B2CF9AE}" pid="3" name="MediaServiceImageTags">
    <vt:lpwstr/>
  </property>
</Properties>
</file>