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2.png" ContentType="image/png"/>
  <Override PartName="/word/media/rId28.png" ContentType="image/png"/>
  <Override PartName="/word/media/rId31.png" ContentType="image/png"/>
  <Override PartName="/word/media/rId38.png" ContentType="image/png"/>
  <Override PartName="/word/media/" ContentType="application/octet-stream"/>
  <Override PartName="/word/media/image8.svg" ContentType="image/svg+xml"/>
  <Override PartName="/word/media/image5.png" ContentType="image/png"/>
  <Override PartName="/word/media/image7.png" ContentType="image/png"/>
  <Override PartName="/word/media/image3.png" ContentType="image/png"/>
  <Override PartName="/word/media/image2.svg" ContentType="image/svg+xml"/>
  <Override PartName="/word/media/image4.svg" ContentType="image/svg+xml"/>
  <Override PartName="/word/media/image6.svg" ContentType="image/svg+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0947cea156f8a57df47dd109c04690af39d423c"/>
    <w:p>
      <w:pPr>
        <w:pStyle w:val="Heading1"/>
      </w:pPr>
      <w:bookmarkStart w:id="20" w:name="X0947cea156f8a57df47dd109c04690af39d423c"/>
      <w:r>
        <w:t xml:space="preserve">Tutorial 1 — Networks, concepts, and object classes</w:t>
      </w:r>
      <w:bookmarkEnd w:id="20"/>
    </w:p>
    <w:p>
      <w:pPr>
        <w:pStyle w:val="FirstParagraph"/>
      </w:pPr>
      <w:r>
        <w:t xml:space="preserve">Urban Network Analysis (UNA) models the built environment as a</w:t>
      </w:r>
      <w:r>
        <w:t xml:space="preserve"> </w:t>
      </w:r>
      <w:r>
        <w:rPr>
          <w:b/>
        </w:rPr>
        <w:t xml:space="preserve">spatial network</w:t>
      </w:r>
      <w:r>
        <w:t xml:space="preserve">: a system of path segments along which pedestrians</w:t>
      </w:r>
      <w:r>
        <w:t xml:space="preserve"> </w:t>
      </w:r>
      <w:r>
        <w:t xml:space="preserve">or cyclists can travel. Three things describe the network completely:</w:t>
      </w:r>
      <w:r>
        <w:t xml:space="preserve"> </w:t>
      </w:r>
      <w:r>
        <w:t xml:space="preserve">(i) the</w:t>
      </w:r>
      <w:r>
        <w:t xml:space="preserve"> </w:t>
      </w:r>
      <w:r>
        <w:rPr>
          <w:b/>
        </w:rPr>
        <w:t xml:space="preserve">edges</w:t>
      </w:r>
      <w:r>
        <w:t xml:space="preserve"> </w:t>
      </w:r>
      <w:r>
        <w:t xml:space="preserve">you can move along, (ii) the</w:t>
      </w:r>
      <w:r>
        <w:t xml:space="preserve"> </w:t>
      </w:r>
      <w:r>
        <w:rPr>
          <w:b/>
        </w:rPr>
        <w:t xml:space="preserve">nodes</w:t>
      </w:r>
      <w:r>
        <w:t xml:space="preserve"> </w:t>
      </w:r>
      <w:r>
        <w:t xml:space="preserve">where edges</w:t>
      </w:r>
      <w:r>
        <w:t xml:space="preserve"> </w:t>
      </w:r>
      <w:r>
        <w:t xml:space="preserve">meet (intersections, dead-ends), and (iii) the</w:t>
      </w:r>
      <w:r>
        <w:t xml:space="preserve"> </w:t>
      </w:r>
      <w:r>
        <w:rPr>
          <w:b/>
        </w:rPr>
        <w:t xml:space="preserve">point objects</w:t>
      </w:r>
      <w:r>
        <w:t xml:space="preserve"> </w:t>
      </w:r>
      <w:r>
        <w:t xml:space="preserve">attached to edges — origins and destinations — that serve as the sources and sinks of the</w:t>
      </w:r>
      <w:r>
        <w:t xml:space="preserve"> </w:t>
      </w:r>
      <w:r>
        <w:t xml:space="preserve">analysis. This tutorial introduces the concepts and conventions.</w:t>
      </w:r>
    </w:p>
    <w:p>
      <w:pPr>
        <w:numPr>
          <w:ilvl w:val="0"/>
          <w:numId w:val="1001"/>
        </w:numPr>
      </w:pPr>
      <w:hyperlink w:anchor="the-network-as-a-graph">
        <w:r>
          <w:rPr>
            <w:rStyle w:val="Hyperlink"/>
          </w:rPr>
          <w:t xml:space="preserve">The network as a graph</w:t>
        </w:r>
      </w:hyperlink>
    </w:p>
    <w:p>
      <w:pPr>
        <w:numPr>
          <w:ilvl w:val="0"/>
          <w:numId w:val="1001"/>
        </w:numPr>
      </w:pPr>
      <w:hyperlink w:anchor="d-structures-overpasses-and-underpasses">
        <w:r>
          <w:rPr>
            <w:rStyle w:val="Hyperlink"/>
          </w:rPr>
          <w:t xml:space="preserve">3D structures — overpasses and underpasses</w:t>
        </w:r>
      </w:hyperlink>
    </w:p>
    <w:p>
      <w:pPr>
        <w:numPr>
          <w:ilvl w:val="0"/>
          <w:numId w:val="1001"/>
        </w:numPr>
      </w:pPr>
      <w:hyperlink w:anchor="origin-and-destination-points">
        <w:r>
          <w:rPr>
            <w:rStyle w:val="Hyperlink"/>
          </w:rPr>
          <w:t xml:space="preserve">Origin and destination points</w:t>
        </w:r>
      </w:hyperlink>
    </w:p>
    <w:p>
      <w:pPr>
        <w:numPr>
          <w:ilvl w:val="0"/>
          <w:numId w:val="1001"/>
        </w:numPr>
      </w:pPr>
      <w:hyperlink w:anchor="X86e178ac0fa1109602d590fc4a4450c4e521b2e">
        <w:r>
          <w:rPr>
            <w:rStyle w:val="Hyperlink"/>
          </w:rPr>
          <w:t xml:space="preserve">Edge attributes — objective vs. perceived length</w:t>
        </w:r>
      </w:hyperlink>
    </w:p>
    <w:p>
      <w:pPr>
        <w:numPr>
          <w:ilvl w:val="0"/>
          <w:numId w:val="1001"/>
        </w:numPr>
      </w:pPr>
      <w:hyperlink w:anchor="overview-of-una-analyses">
        <w:r>
          <w:rPr>
            <w:rStyle w:val="Hyperlink"/>
          </w:rPr>
          <w:t xml:space="preserve">Overview of UNA analyses</w:t>
        </w:r>
      </w:hyperlink>
    </w:p>
    <w:p>
      <w:pPr>
        <w:numPr>
          <w:ilvl w:val="0"/>
          <w:numId w:val="1001"/>
        </w:numPr>
      </w:pPr>
      <w:hyperlink w:anchor="summary">
        <w:r>
          <w:rPr>
            <w:rStyle w:val="Hyperlink"/>
          </w:rPr>
          <w:t xml:space="preserve">Summary</w:t>
        </w:r>
      </w:hyperlink>
    </w:p>
    <w:bookmarkStart w:id="23" w:name="the-network-as-a-graph"/>
    <w:p>
      <w:pPr>
        <w:pStyle w:val="Heading2"/>
      </w:pPr>
      <w:bookmarkStart w:id="21" w:name="the-network-as-a-graph"/>
      <w:hyperlink w:anchor="id5">
        <w:r>
          <w:rPr>
            <w:rStyle w:val="Hyperlink"/>
          </w:rPr>
          <w:t xml:space="preserve">The network as a graph</w:t>
        </w:r>
      </w:hyperlink>
      <w:bookmarkEnd w:id="21"/>
    </w:p>
    <w:p>
      <w:pPr>
        <w:pStyle w:val="FirstParagraph"/>
      </w:pPr>
      <w:r>
        <w:t xml:space="preserve">A network is a set of</w:t>
      </w:r>
      <w:r>
        <w:t xml:space="preserve"> </w:t>
      </w:r>
      <w:r>
        <w:rPr>
          <w:b/>
        </w:rPr>
        <w:t xml:space="preserve">edges</w:t>
      </w:r>
      <w:r>
        <w:t xml:space="preserve"> </w:t>
      </w:r>
      <w:r>
        <w:t xml:space="preserve">(line segments — typically sidewalks,</w:t>
      </w:r>
      <w:r>
        <w:t xml:space="preserve"> </w:t>
      </w:r>
      <w:r>
        <w:t xml:space="preserve">streets, paths, or corridors) connected at</w:t>
      </w:r>
      <w:r>
        <w:t xml:space="preserve"> </w:t>
      </w:r>
      <w:r>
        <w:rPr>
          <w:b/>
        </w:rPr>
        <w:t xml:space="preserve">nodes</w:t>
      </w:r>
      <w:r>
        <w:t xml:space="preserve"> </w:t>
      </w:r>
      <w:r>
        <w:t xml:space="preserve">(the shared</w:t>
      </w:r>
      <w:r>
        <w:t xml:space="preserve"> </w:t>
      </w:r>
      <w:r>
        <w:t xml:space="preserve">endpoints of edges). UNA reads any GIS line layer and treats every</w:t>
      </w:r>
      <w:r>
        <w:t xml:space="preserve"> </w:t>
      </w:r>
      <w:r>
        <w:t xml:space="preserve">LineString as one edge. For the engine to route trips through an</w:t>
      </w:r>
      <w:r>
        <w:t xml:space="preserve"> </w:t>
      </w:r>
      <w:r>
        <w:t xml:space="preserve">intersection, every edge that meets there must terminate at exactly</w:t>
      </w:r>
      <w:r>
        <w:t xml:space="preserve"> </w:t>
      </w:r>
      <w:r>
        <w:t xml:space="preserve">the same coordinate — they must</w:t>
      </w:r>
      <w:r>
        <w:t xml:space="preserve"> </w:t>
      </w:r>
      <w:r>
        <w:rPr>
          <w:b/>
        </w:rPr>
        <w:t xml:space="preserve">share an endpoint</w:t>
      </w:r>
      <w:r>
        <w:t xml:space="preserve">. Curves that</w:t>
      </w:r>
      <w:r>
        <w:t xml:space="preserve"> </w:t>
      </w:r>
      <w:r>
        <w:t xml:space="preserve">merely cross visually without a shared endpoint are not connected as</w:t>
      </w:r>
      <w:r>
        <w:t xml:space="preserve"> </w:t>
      </w:r>
      <w:r>
        <w:t xml:space="preserve">far as routing is concerned.</w:t>
      </w:r>
    </w:p>
    <w:p>
      <w:pPr>
        <w:pStyle w:val="CaptionedFigure"/>
      </w:pPr>
      <w:r>
        <w:drawing>
          <wp:inline>
            <wp:extent cx="6159500" cy="1847850"/>
            <wp:effectExtent b="0" l="0" r="0" t="0"/>
            <wp:docPr descr="Three topology cases. (a) Correctly split — all segments share an endpoint and trips can flow. (b) A T-junction where one curve dead-ends on another that wasn’t split: trips cannot pass through. (c) Two curves crossing without a shared node — interpreted as an overpass/underpass, not a connection." title="" id="1" name="Picture"/>
            <a:graphic>
              <a:graphicData uri="http://schemas.openxmlformats.org/drawingml/2006/picture">
                <pic:pic>
                  <pic:nvPicPr>
                    <pic:cNvPr descr="../_images/t1_image1.png" id="0" name="Picture"/>
                    <pic:cNvPicPr>
                      <a:picLocks noChangeArrowheads="1" noChangeAspect="1"/>
                    </pic:cNvPicPr>
                  </pic:nvPicPr>
                  <pic:blipFill>
                    <a:blip r:embed="rId22"/>
                    <a:stretch>
                      <a:fillRect/>
                    </a:stretch>
                  </pic:blipFill>
                  <pic:spPr bwMode="auto">
                    <a:xfrm>
                      <a:off x="0" y="0"/>
                      <a:ext cx="6159500" cy="1847850"/>
                    </a:xfrm>
                    <a:prstGeom prst="rect">
                      <a:avLst/>
                    </a:prstGeom>
                    <a:noFill/>
                    <a:ln w="9525">
                      <a:noFill/>
                      <a:headEnd/>
                      <a:tailEnd/>
                    </a:ln>
                  </pic:spPr>
                </pic:pic>
              </a:graphicData>
            </a:graphic>
          </wp:inline>
        </w:drawing>
      </w:r>
    </w:p>
    <w:p>
      <w:pPr>
        <w:pStyle w:val="ImageCaption"/>
      </w:pPr>
      <w:r>
        <w:rPr>
          <w:b/>
        </w:rPr>
        <w:t xml:space="preserve">Three topology cases.</w:t>
      </w:r>
      <w:r>
        <w:t xml:space="preserve"> </w:t>
      </w:r>
      <w:r>
        <w:t xml:space="preserve">(a) Correctly split — all segments share</w:t>
      </w:r>
      <w:r>
        <w:t xml:space="preserve"> </w:t>
      </w:r>
      <w:r>
        <w:t xml:space="preserve">an endpoint and trips can flow. (b) A T-junction where one curve</w:t>
      </w:r>
      <w:r>
        <w:t xml:space="preserve"> </w:t>
      </w:r>
      <w:r>
        <w:t xml:space="preserve">dead-ends on another that wasn’t split: trips cannot pass through.</w:t>
      </w:r>
      <w:r>
        <w:t xml:space="preserve"> </w:t>
      </w:r>
      <w:r>
        <w:t xml:space="preserve">(c) Two curves crossing without a shared node — interpreted as an</w:t>
      </w:r>
      <w:r>
        <w:t xml:space="preserve"> </w:t>
      </w:r>
      <w:r>
        <w:t xml:space="preserve">overpass/underpass, not a connection.</w:t>
      </w:r>
    </w:p>
    <w:p>
      <w:pPr>
        <w:pStyle w:val="BodyText"/>
      </w:pPr>
      <w:r>
        <w:t xml:space="preserve">Before any UNA analysis, the network must be cleaned so that every</w:t>
      </w:r>
      <w:r>
        <w:t xml:space="preserve"> </w:t>
      </w:r>
      <w:r>
        <w:t xml:space="preserve">visual intersection is also a topological one — the curves split at</w:t>
      </w:r>
      <w:r>
        <w:t xml:space="preserve"> </w:t>
      </w:r>
      <w:r>
        <w:t xml:space="preserve">the crossing and sharing an endpoint there. It is normal to have</w:t>
      </w:r>
      <w:r>
        <w:t xml:space="preserve"> </w:t>
      </w:r>
      <w:r>
        <w:t xml:space="preserve">dead-ends at the boundary of the study area (cul-de-sacs, network</w:t>
      </w:r>
      <w:r>
        <w:t xml:space="preserve"> </w:t>
      </w:r>
      <w:r>
        <w:t xml:space="preserve">edge); the problem is</w:t>
      </w:r>
      <w:r>
        <w:t xml:space="preserve"> </w:t>
      </w:r>
      <w:r>
        <w:rPr>
          <w:i/>
        </w:rPr>
        <w:t xml:space="preserve">unintentional</w:t>
      </w:r>
      <w:r>
        <w:t xml:space="preserve"> </w:t>
      </w:r>
      <w:r>
        <w:t xml:space="preserve">dead-ends mid-network caused by</w:t>
      </w:r>
      <w:r>
        <w:t xml:space="preserve"> </w:t>
      </w:r>
      <w:r>
        <w:t xml:space="preserve">un-split crossings. Pre-cleaning the network is the user’s</w:t>
      </w:r>
      <w:r>
        <w:t xml:space="preserve"> </w:t>
      </w:r>
      <w:r>
        <w:t xml:space="preserve">responsibility, typically done in QGIS, ArcGIS Pro, Rhinoceros 3D, or</w:t>
      </w:r>
      <w:r>
        <w:t xml:space="preserve"> </w:t>
      </w:r>
      <w:r>
        <w:t xml:space="preserve">CAD software.</w:t>
      </w:r>
    </w:p>
    <w:bookmarkEnd w:id="23"/>
    <w:bookmarkStart w:id="26" w:name="d-structures-overpasses-and-underpasses"/>
    <w:p>
      <w:pPr>
        <w:pStyle w:val="Heading2"/>
      </w:pPr>
      <w:bookmarkStart w:id="24" w:name="d-structures-overpasses-and-underpasses"/>
      <w:hyperlink w:anchor="id6">
        <w:r>
          <w:rPr>
            <w:rStyle w:val="Hyperlink"/>
          </w:rPr>
          <w:t xml:space="preserve">3D structures — overpasses and underpasses</w:t>
        </w:r>
      </w:hyperlink>
      <w:bookmarkEnd w:id="24"/>
    </w:p>
    <w:p>
      <w:pPr>
        <w:pStyle w:val="FirstParagraph"/>
      </w:pPr>
      <w:r>
        <w:t xml:space="preserve">Real street networks are not perfectly flat. Bridges, tunnels,</w:t>
      </w:r>
      <w:r>
        <w:t xml:space="preserve"> </w:t>
      </w:r>
      <w:r>
        <w:t xml:space="preserve">pedestrian skybridges, and grade separations let two routes cross in</w:t>
      </w:r>
      <w:r>
        <w:t xml:space="preserve"> </w:t>
      </w:r>
      <w:r>
        <w:t xml:space="preserve">plan view without actually meeting. UNA represents these by exploiting</w:t>
      </w:r>
      <w:r>
        <w:t xml:space="preserve"> </w:t>
      </w:r>
      <w:r>
        <w:t xml:space="preserve">the topology rule above: two crossing curves that do not share an</w:t>
      </w:r>
      <w:r>
        <w:t xml:space="preserve"> </w:t>
      </w:r>
      <w:r>
        <w:t xml:space="preserve">endpoint at the crossing are interpreted as an overpass/underpass —</w:t>
      </w:r>
      <w:r>
        <w:t xml:space="preserve"> </w:t>
      </w:r>
      <w:r>
        <w:t xml:space="preserve">they cross in 2D but are not connected. No separate Z-coordinate is</w:t>
      </w:r>
      <w:r>
        <w:t xml:space="preserve"> </w:t>
      </w:r>
      <w:r>
        <w:t xml:space="preserve">needed to model this; the absence of a shared node is enough. If you</w:t>
      </w:r>
      <w:r>
        <w:t xml:space="preserve"> </w:t>
      </w:r>
      <w:r>
        <w:rPr>
          <w:i/>
        </w:rPr>
        <w:t xml:space="preserve">do</w:t>
      </w:r>
      <w:r>
        <w:t xml:space="preserve"> </w:t>
      </w:r>
      <w:r>
        <w:t xml:space="preserve">have elevation data on the network (z-values), UNA can</w:t>
      </w:r>
      <w:r>
        <w:t xml:space="preserve"> </w:t>
      </w:r>
      <w:r>
        <w:t xml:space="preserve">additionally apply an</w:t>
      </w:r>
      <w:r>
        <w:t xml:space="preserve"> </w:t>
      </w:r>
      <w:r>
        <w:rPr>
          <w:b/>
        </w:rPr>
        <w:t xml:space="preserve">elevation penalty</w:t>
      </w:r>
      <w:r>
        <w:t xml:space="preserve"> </w:t>
      </w:r>
      <w:r>
        <w:t xml:space="preserve">to uphill walking — but</w:t>
      </w:r>
      <w:r>
        <w:t xml:space="preserve"> </w:t>
      </w:r>
      <w:r>
        <w:t xml:space="preserve">that is a cost adjustment, not a topology mechanism (see</w:t>
      </w:r>
      <w:r>
        <w:t xml:space="preserve"> </w:t>
      </w:r>
      <w:hyperlink r:id="rId25">
        <w:r>
          <w:rPr>
            <w:rStyle w:val="Hyperlink"/>
          </w:rPr>
          <w:t xml:space="preserve">Elevation and turn penalties</w:t>
        </w:r>
      </w:hyperlink>
      <w:r>
        <w:t xml:space="preserve">).</w:t>
      </w:r>
    </w:p>
    <w:bookmarkEnd w:id="26"/>
    <w:bookmarkStart w:id="29" w:name="origin-and-destination-points"/>
    <w:p>
      <w:pPr>
        <w:pStyle w:val="Heading2"/>
      </w:pPr>
      <w:bookmarkStart w:id="27" w:name="origin-and-destination-points"/>
      <w:hyperlink w:anchor="id7">
        <w:r>
          <w:rPr>
            <w:rStyle w:val="Hyperlink"/>
          </w:rPr>
          <w:t xml:space="preserve">Origin and destination points</w:t>
        </w:r>
      </w:hyperlink>
      <w:bookmarkEnd w:id="27"/>
    </w:p>
    <w:p>
      <w:pPr>
        <w:pStyle w:val="FirstParagraph"/>
      </w:pPr>
      <w:r>
        <w:t xml:space="preserve">Beyond the network itself, every UNA analysis takes two classes of</w:t>
      </w:r>
      <w:r>
        <w:t xml:space="preserve"> </w:t>
      </w:r>
      <w:r>
        <w:rPr>
          <w:b/>
        </w:rPr>
        <w:t xml:space="preserve">point objects</w:t>
      </w:r>
      <w:r>
        <w:t xml:space="preserve">:</w:t>
      </w:r>
    </w:p>
    <w:p>
      <w:pPr>
        <w:numPr>
          <w:ilvl w:val="0"/>
          <w:numId w:val="1002"/>
        </w:numPr>
      </w:pPr>
      <w:r>
        <w:rPr>
          <w:b/>
        </w:rPr>
        <w:t xml:space="preserve">Origins</w:t>
      </w:r>
      <w:r>
        <w:t xml:space="preserve"> </w:t>
      </w:r>
      <w:r>
        <w:t xml:space="preserve">— where trips begin: residential buildings, household</w:t>
      </w:r>
      <w:r>
        <w:t xml:space="preserve"> </w:t>
      </w:r>
      <w:r>
        <w:t xml:space="preserve">locations, transit boarding points, analysis grid cells.</w:t>
      </w:r>
    </w:p>
    <w:p>
      <w:pPr>
        <w:numPr>
          <w:ilvl w:val="0"/>
          <w:numId w:val="1002"/>
        </w:numPr>
      </w:pPr>
      <w:r>
        <w:rPr>
          <w:b/>
        </w:rPr>
        <w:t xml:space="preserve">Destinations</w:t>
      </w:r>
      <w:r>
        <w:t xml:space="preserve"> </w:t>
      </w:r>
      <w:r>
        <w:t xml:space="preserve">— where trips end: jobs, shops, transit alighting</w:t>
      </w:r>
      <w:r>
        <w:t xml:space="preserve"> </w:t>
      </w:r>
      <w:r>
        <w:t xml:space="preserve">points, parks, schools.</w:t>
      </w:r>
    </w:p>
    <w:p>
      <w:pPr>
        <w:pStyle w:val="FirstParagraph"/>
      </w:pPr>
      <w:r>
        <w:t xml:space="preserve">Each point is automatically snapped onto the nearest network edge at</w:t>
      </w:r>
      <w:r>
        <w:t xml:space="preserve"> </w:t>
      </w:r>
      <w:r>
        <w:t xml:space="preserve">runtime; you do not pre-snap them. What you do provide is an optional</w:t>
      </w:r>
      <w:r>
        <w:t xml:space="preserve"> </w:t>
      </w:r>
      <w:r>
        <w:rPr>
          <w:b/>
        </w:rPr>
        <w:t xml:space="preserve">weight attribute</w:t>
      </w:r>
      <w:r>
        <w:t xml:space="preserve"> </w:t>
      </w:r>
      <w:r>
        <w:t xml:space="preserve">— a numeric column quantifying how much the point</w:t>
      </w:r>
      <w:r>
        <w:t xml:space="preserve"> </w:t>
      </w:r>
      <w:r>
        <w:t xml:space="preserve">matters: an origin’s residents, a destination’s jobs, floor area, or</w:t>
      </w:r>
      <w:r>
        <w:t xml:space="preserve"> </w:t>
      </w:r>
      <w:r>
        <w:t xml:space="preserve">seating capacity, etc. Weights enter the math directly: a destination with</w:t>
      </w:r>
      <w:r>
        <w:t xml:space="preserve"> </w:t>
      </w:r>
      <w:r>
        <w:t xml:space="preserve">weight 25 attracts five times as much gravity-model flow as one with</w:t>
      </w:r>
      <w:r>
        <w:t xml:space="preserve"> </w:t>
      </w:r>
      <w:r>
        <w:t xml:space="preserve">weight 5 at the same distance.</w:t>
      </w:r>
    </w:p>
    <w:p>
      <w:pPr>
        <w:pStyle w:val="CaptionedFigure"/>
      </w:pPr>
      <w:r>
        <w:drawing>
          <wp:inline>
            <wp:extent cx="5237453" cy="2546915"/>
            <wp:effectExtent b="0" l="0" r="0" t="0"/>
            <wp:docPr descr="A small network with origin points (blue squares) and destination points (red circles). Symbol size and the number inside each marker show the point’s weight. Both classes snap to the nearest edge automatically." title="" id="1" name="Picture"/>
            <a:graphic>
              <a:graphicData uri="http://schemas.openxmlformats.org/drawingml/2006/picture">
                <pic:pic>
                  <pic:nvPicPr>
                    <pic:cNvPr descr="../_images/t1_image3.png" id="0" name="Picture"/>
                    <pic:cNvPicPr>
                      <a:picLocks noChangeArrowheads="1" noChangeAspect="1"/>
                    </pic:cNvPicPr>
                  </pic:nvPicPr>
                  <pic:blipFill>
                    <a:blip r:embed="rId28"/>
                    <a:stretch>
                      <a:fillRect/>
                    </a:stretch>
                  </pic:blipFill>
                  <pic:spPr bwMode="auto">
                    <a:xfrm>
                      <a:off x="0" y="0"/>
                      <a:ext cx="5237453" cy="2546915"/>
                    </a:xfrm>
                    <a:prstGeom prst="rect">
                      <a:avLst/>
                    </a:prstGeom>
                    <a:noFill/>
                    <a:ln w="9525">
                      <a:noFill/>
                      <a:headEnd/>
                      <a:tailEnd/>
                    </a:ln>
                  </pic:spPr>
                </pic:pic>
              </a:graphicData>
            </a:graphic>
          </wp:inline>
        </w:drawing>
      </w:r>
    </w:p>
    <w:p>
      <w:pPr>
        <w:pStyle w:val="ImageCaption"/>
      </w:pPr>
      <w:r>
        <w:t xml:space="preserve">A small network with origin points (blue squares) and destination</w:t>
      </w:r>
      <w:r>
        <w:t xml:space="preserve"> </w:t>
      </w:r>
      <w:r>
        <w:t xml:space="preserve">points (red circles). Symbol size and the number inside each marker</w:t>
      </w:r>
      <w:r>
        <w:t xml:space="preserve"> </w:t>
      </w:r>
      <w:r>
        <w:t xml:space="preserve">show the point’s weight. Both classes snap to the nearest edge</w:t>
      </w:r>
      <w:r>
        <w:t xml:space="preserve"> </w:t>
      </w:r>
      <w:r>
        <w:t xml:space="preserve">automatically.</w:t>
      </w:r>
    </w:p>
    <w:bookmarkEnd w:id="29"/>
    <w:bookmarkStart w:id="36" w:name="X86e178ac0fa1109602d590fc4a4450c4e521b2e"/>
    <w:p>
      <w:pPr>
        <w:pStyle w:val="Heading2"/>
      </w:pPr>
      <w:bookmarkStart w:id="30" w:name="X0280418670a0527e652e3a3ff6383fef451c0b6"/>
      <w:hyperlink w:anchor="id8">
        <w:r>
          <w:rPr>
            <w:rStyle w:val="Hyperlink"/>
          </w:rPr>
          <w:t xml:space="preserve">Edge attributes — objective vs. perceived length</w:t>
        </w:r>
      </w:hyperlink>
      <w:bookmarkEnd w:id="30"/>
    </w:p>
    <w:p>
      <w:pPr>
        <w:pStyle w:val="FirstParagraph"/>
      </w:pPr>
      <w:r>
        <w:t xml:space="preserve">Every edge carries a</w:t>
      </w:r>
      <w:r>
        <w:t xml:space="preserve"> </w:t>
      </w:r>
      <w:r>
        <w:rPr>
          <w:b/>
        </w:rPr>
        <w:t xml:space="preserve">cost attribute</w:t>
      </w:r>
      <w:r>
        <w:t xml:space="preserve"> </w:t>
      </w:r>
      <w:r>
        <w:t xml:space="preserve">— the value the routing</w:t>
      </w:r>
      <w:r>
        <w:t xml:space="preserve"> </w:t>
      </w:r>
      <w:r>
        <w:t xml:space="preserve">algorithm minimizes when computing shortest paths. By default this is</w:t>
      </w:r>
      <w:r>
        <w:t xml:space="preserve"> </w:t>
      </w:r>
      <w:r>
        <w:t xml:space="preserve">the segment’s geometric length in meters. But the cost column does not</w:t>
      </w:r>
      <w:r>
        <w:t xml:space="preserve"> </w:t>
      </w:r>
      <w:r>
        <w:t xml:space="preserve">have to be geometric length: you can substitute a</w:t>
      </w:r>
      <w:r>
        <w:t xml:space="preserve"> </w:t>
      </w:r>
      <w:r>
        <w:rPr>
          <w:b/>
        </w:rPr>
        <w:t xml:space="preserve">perceived</w:t>
      </w:r>
      <w:r>
        <w:rPr>
          <w:b/>
        </w:rPr>
        <w:t xml:space="preserve"> </w:t>
      </w:r>
      <w:r>
        <w:rPr>
          <w:b/>
        </w:rPr>
        <w:t xml:space="preserve">length</w:t>
      </w:r>
      <w:r>
        <w:t xml:space="preserve"> </w:t>
      </w:r>
      <w:r>
        <w:t xml:space="preserve">— meters as the pedestrian experiences them, not as the</w:t>
      </w:r>
      <w:r>
        <w:t xml:space="preserve"> </w:t>
      </w:r>
      <w:r>
        <w:t xml:space="preserve">surveyor measures them. Perceived lengths are a powerful way of</w:t>
      </w:r>
      <w:r>
        <w:t xml:space="preserve"> </w:t>
      </w:r>
      <w:r>
        <w:t xml:space="preserve">folding route attributes (sidewalk presence and width, trees, ground</w:t>
      </w:r>
      <w:r>
        <w:t xml:space="preserve"> </w:t>
      </w:r>
      <w:r>
        <w:t xml:space="preserve">floor businesses, traffic noise, heat) into segment costs.</w:t>
      </w:r>
    </w:p>
    <w:p>
      <w:pPr>
        <w:pStyle w:val="CaptionedFigure"/>
      </w:pPr>
      <w:r>
        <w:drawing>
          <wp:inline>
            <wp:extent cx="6159500" cy="2267038"/>
            <wp:effectExtent b="0" l="0" r="0" t="0"/>
            <wp:docPr descr="Two routes between an origin O and a destination D. The arterial is shorter in ground meters but feels longer because of noise, traffic, and pollution. The park path is geometrically longer but feels shorter. With perceived length as the cost attribute, the engine prefers the park path even though it is physically further." title="" id="1" name="Picture"/>
            <a:graphic>
              <a:graphicData uri="http://schemas.openxmlformats.org/drawingml/2006/picture">
                <pic:pic>
                  <pic:nvPicPr>
                    <pic:cNvPr descr="../_images/t1_image5.png" id="0" name="Picture"/>
                    <pic:cNvPicPr>
                      <a:picLocks noChangeArrowheads="1" noChangeAspect="1"/>
                    </pic:cNvPicPr>
                  </pic:nvPicPr>
                  <pic:blipFill>
                    <a:blip r:embed="rId31"/>
                    <a:stretch>
                      <a:fillRect/>
                    </a:stretch>
                  </pic:blipFill>
                  <pic:spPr bwMode="auto">
                    <a:xfrm>
                      <a:off x="0" y="0"/>
                      <a:ext cx="6159500" cy="2267038"/>
                    </a:xfrm>
                    <a:prstGeom prst="rect">
                      <a:avLst/>
                    </a:prstGeom>
                    <a:noFill/>
                    <a:ln w="9525">
                      <a:noFill/>
                      <a:headEnd/>
                      <a:tailEnd/>
                    </a:ln>
                  </pic:spPr>
                </pic:pic>
              </a:graphicData>
            </a:graphic>
          </wp:inline>
        </w:drawing>
      </w:r>
    </w:p>
    <w:p>
      <w:pPr>
        <w:pStyle w:val="ImageCaption"/>
      </w:pPr>
      <w:r>
        <w:t xml:space="preserve">Two routes between an origin O and a destination D. The arterial is</w:t>
      </w:r>
      <w:r>
        <w:t xml:space="preserve"> </w:t>
      </w:r>
      <w:r>
        <w:t xml:space="preserve">shorter in ground meters but feels longer because of noise, traffic,</w:t>
      </w:r>
      <w:r>
        <w:t xml:space="preserve"> </w:t>
      </w:r>
      <w:r>
        <w:t xml:space="preserve">and pollution. The park path is geometrically longer but feels</w:t>
      </w:r>
      <w:r>
        <w:t xml:space="preserve"> </w:t>
      </w:r>
      <w:r>
        <w:t xml:space="preserve">shorter. With perceived length as the cost attribute, the engine</w:t>
      </w:r>
      <w:r>
        <w:t xml:space="preserve"> </w:t>
      </w:r>
      <w:r>
        <w:t xml:space="preserve">prefers the park path even though it is physically further.</w:t>
      </w:r>
    </w:p>
    <w:p>
      <w:pPr>
        <w:pStyle w:val="BodyText"/>
      </w:pPr>
      <w:r>
        <w:t xml:space="preserve">Perceived length is typically computed by multiplying each segment’s</w:t>
      </w:r>
      <w:r>
        <w:t xml:space="preserve"> </w:t>
      </w:r>
      <w:r>
        <w:t xml:space="preserve">geometric length by a</w:t>
      </w:r>
      <w:r>
        <w:t xml:space="preserve"> </w:t>
      </w:r>
      <w:r>
        <w:rPr>
          <w:b/>
        </w:rPr>
        <w:t xml:space="preserve">quality factor</w:t>
      </w:r>
      <w:r>
        <w:t xml:space="preserve"> </w:t>
      </w:r>
      <w:r>
        <w:t xml:space="preserve">derived from the street’s</w:t>
      </w:r>
      <w:r>
        <w:t xml:space="preserve"> </w:t>
      </w:r>
      <w:r>
        <w:t xml:space="preserve">pedestrian environment. A pleasant tree-lined street might score 0.8</w:t>
      </w:r>
      <w:r>
        <w:t xml:space="preserve"> </w:t>
      </w:r>
      <w:r>
        <w:t xml:space="preserve">(each meter feels like 0.8 m); a noisy arterial 1.4. UNA does not</w:t>
      </w:r>
      <w:r>
        <w:t xml:space="preserve"> </w:t>
      </w:r>
      <w:r>
        <w:t xml:space="preserve">prescribe how you derive the factors — typically from pedestrian</w:t>
      </w:r>
      <w:r>
        <w:t xml:space="preserve"> </w:t>
      </w:r>
      <w:r>
        <w:t xml:space="preserve">route-choice studies estimating Willingness To Walk, Distance</w:t>
      </w:r>
      <w:r>
        <w:t xml:space="preserve"> </w:t>
      </w:r>
      <w:r>
        <w:t xml:space="preserve">Equivalence, or Value of Distance for different route attributes — but</w:t>
      </w:r>
      <w:r>
        <w:t xml:space="preserve"> </w:t>
      </w:r>
      <w:r>
        <w:t xml:space="preserve">it routes correctly on whatever cost column you supply. Configure it</w:t>
      </w:r>
      <w:r>
        <w:t xml:space="preserve"> </w:t>
      </w:r>
      <w:r>
        <w:t xml:space="preserve">via</w:t>
      </w:r>
      <w:r>
        <w:t xml:space="preserve"> </w:t>
      </w:r>
      <w:r>
        <w:rPr>
          <w:rStyle w:val="OperatorTok"/>
        </w:rPr>
        <w:t xml:space="preserve">/</w:t>
      </w:r>
      <w:r>
        <w:rPr>
          <w:rStyle w:val="NormalTok"/>
        </w:rPr>
        <w:t xml:space="preserve">user_guide</w:t>
      </w:r>
      <w:r>
        <w:rPr>
          <w:rStyle w:val="OperatorTok"/>
        </w:rPr>
        <w:t xml:space="preserve">/</w:t>
      </w:r>
      <w:r>
        <w:rPr>
          <w:rStyle w:val="NormalTok"/>
        </w:rPr>
        <w:t xml:space="preserve">settings_reference:network_weight_column</w:t>
      </w:r>
      <w:r>
        <w:t xml:space="preserve">,</w:t>
      </w:r>
      <w:r>
        <w:t xml:space="preserve"> </w:t>
      </w:r>
      <w:r>
        <w:t xml:space="preserve">which defaults to</w:t>
      </w:r>
      <w:r>
        <w:t xml:space="preserve"> </w:t>
      </w:r>
      <w:r>
        <w:rPr>
          <w:rStyle w:val="VerbatimChar"/>
        </w:rPr>
        <w:t xml:space="preserve">"Geometric"</w:t>
      </w:r>
      <w:r>
        <w:t xml:space="preserve"> </w:t>
      </w:r>
      <w:r>
        <w:t xml:space="preserve">(ground length).</w:t>
      </w:r>
    </w:p>
    <w:p>
      <w:pPr>
        <w:pStyle w:val="BodyText"/>
      </w:pPr>
      <w:r>
        <w:t xml:space="preserve">See also</w:t>
      </w:r>
    </w:p>
    <w:p>
      <w:pPr>
        <w:pStyle w:val="BodyText"/>
      </w:pPr>
      <w:r>
        <w:t xml:space="preserve">For literature reference on measured perceived cost factors of</w:t>
      </w:r>
      <w:r>
        <w:t xml:space="preserve"> </w:t>
      </w:r>
      <w:r>
        <w:t xml:space="preserve">different street attributes for pedestrians, see:</w:t>
      </w:r>
    </w:p>
    <w:p>
      <w:pPr>
        <w:numPr>
          <w:ilvl w:val="0"/>
          <w:numId w:val="1003"/>
        </w:numPr>
      </w:pPr>
      <w:r>
        <w:t xml:space="preserve">Sevtsuk, A., Li, X., Basu, R., &amp; Kalvo, R. (2021). A big data</w:t>
      </w:r>
      <w:r>
        <w:t xml:space="preserve"> </w:t>
      </w:r>
      <w:r>
        <w:t xml:space="preserve">approach to understanding pedestrian route choice preferences —</w:t>
      </w:r>
      <w:r>
        <w:t xml:space="preserve"> </w:t>
      </w:r>
      <w:r>
        <w:t xml:space="preserve">Evidence from San Francisco.</w:t>
      </w:r>
      <w:r>
        <w:t xml:space="preserve"> </w:t>
      </w:r>
      <w:r>
        <w:rPr>
          <w:i/>
        </w:rPr>
        <w:t xml:space="preserve">Travel Behaviour and Society</w:t>
      </w:r>
      <w:r>
        <w:t xml:space="preserve">,</w:t>
      </w:r>
      <w:r>
        <w:t xml:space="preserve"> </w:t>
      </w:r>
      <w:r>
        <w:t xml:space="preserve">25(October), 41–51.</w:t>
      </w:r>
      <w:r>
        <w:t xml:space="preserve"> </w:t>
      </w:r>
      <w:hyperlink r:id="rId32">
        <w:r>
          <w:rPr>
            <w:rStyle w:val="Hyperlink"/>
          </w:rPr>
          <w:t xml:space="preserve">https://doi.org/10.1016/j.tbs.2021.05.010</w:t>
        </w:r>
      </w:hyperlink>
    </w:p>
    <w:p>
      <w:pPr>
        <w:numPr>
          <w:ilvl w:val="0"/>
          <w:numId w:val="1003"/>
        </w:numPr>
      </w:pPr>
      <w:r>
        <w:t xml:space="preserve">Basu, R., &amp; Sevtsuk, A. (2022). How do street attributes affect</w:t>
      </w:r>
      <w:r>
        <w:t xml:space="preserve"> </w:t>
      </w:r>
      <w:r>
        <w:t xml:space="preserve">willingness-to-walk? City-wide pedestrian route choice analysis</w:t>
      </w:r>
      <w:r>
        <w:t xml:space="preserve"> </w:t>
      </w:r>
      <w:r>
        <w:t xml:space="preserve">using big data from Boston and San Francisco.</w:t>
      </w:r>
      <w:r>
        <w:t xml:space="preserve"> </w:t>
      </w:r>
      <w:r>
        <w:rPr>
          <w:i/>
        </w:rPr>
        <w:t xml:space="preserve">Transportation</w:t>
      </w:r>
      <w:r>
        <w:rPr>
          <w:i/>
        </w:rPr>
        <w:t xml:space="preserve"> </w:t>
      </w:r>
      <w:r>
        <w:rPr>
          <w:i/>
        </w:rPr>
        <w:t xml:space="preserve">Research Part A</w:t>
      </w:r>
      <w:r>
        <w:t xml:space="preserve">, 163, 1–19.</w:t>
      </w:r>
      <w:r>
        <w:t xml:space="preserve"> </w:t>
      </w:r>
      <w:hyperlink r:id="rId33">
        <w:r>
          <w:rPr>
            <w:rStyle w:val="Hyperlink"/>
          </w:rPr>
          <w:t xml:space="preserve">https://doi.org/10.1016/j.tra.2022.06.007</w:t>
        </w:r>
      </w:hyperlink>
    </w:p>
    <w:p>
      <w:pPr>
        <w:numPr>
          <w:ilvl w:val="0"/>
          <w:numId w:val="1003"/>
        </w:numPr>
      </w:pPr>
      <w:r>
        <w:t xml:space="preserve">Sevtsuk, A., &amp; Basu, R. (2022). The role of turns in pedestrian</w:t>
      </w:r>
      <w:r>
        <w:t xml:space="preserve"> </w:t>
      </w:r>
      <w:r>
        <w:t xml:space="preserve">route choice: a clarification.</w:t>
      </w:r>
      <w:r>
        <w:t xml:space="preserve"> </w:t>
      </w:r>
      <w:r>
        <w:rPr>
          <w:i/>
        </w:rPr>
        <w:t xml:space="preserve">Journal of Transport Geography</w:t>
      </w:r>
      <w:r>
        <w:t xml:space="preserve">.</w:t>
      </w:r>
      <w:r>
        <w:t xml:space="preserve"> </w:t>
      </w:r>
      <w:hyperlink r:id="rId34">
        <w:r>
          <w:rPr>
            <w:rStyle w:val="Hyperlink"/>
          </w:rPr>
          <w:t xml:space="preserve">https://doi.org/10.1016/j.jtrangeo.2022.103392</w:t>
        </w:r>
      </w:hyperlink>
    </w:p>
    <w:p>
      <w:pPr>
        <w:numPr>
          <w:ilvl w:val="0"/>
          <w:numId w:val="1003"/>
        </w:numPr>
      </w:pPr>
      <w:r>
        <w:t xml:space="preserve">Basu, R., Colaninno, N., Alhassan, A., &amp; Sevtsuk, A. (2024). Hot</w:t>
      </w:r>
      <w:r>
        <w:t xml:space="preserve"> </w:t>
      </w:r>
      <w:r>
        <w:t xml:space="preserve">and Bothered: Exploring the Effect of Heat on Pedestrian Behavior</w:t>
      </w:r>
      <w:r>
        <w:t xml:space="preserve"> </w:t>
      </w:r>
      <w:r>
        <w:t xml:space="preserve">and Accessibility.</w:t>
      </w:r>
      <w:r>
        <w:t xml:space="preserve"> </w:t>
      </w:r>
      <w:r>
        <w:rPr>
          <w:i/>
        </w:rPr>
        <w:t xml:space="preserve">Cities</w:t>
      </w:r>
      <w:r>
        <w:t xml:space="preserve">, 155.</w:t>
      </w:r>
      <w:r>
        <w:t xml:space="preserve"> </w:t>
      </w:r>
      <w:hyperlink r:id="rId35">
        <w:r>
          <w:rPr>
            <w:rStyle w:val="Hyperlink"/>
          </w:rPr>
          <w:t xml:space="preserve">https://doi.org/10.1016/j.cities.2024.105435</w:t>
        </w:r>
      </w:hyperlink>
    </w:p>
    <w:bookmarkEnd w:id="36"/>
    <w:bookmarkStart w:id="43" w:name="overview-of-una-analyses"/>
    <w:p>
      <w:pPr>
        <w:pStyle w:val="Heading2"/>
      </w:pPr>
      <w:bookmarkStart w:id="37" w:name="overview-of-una-analyses"/>
      <w:hyperlink w:anchor="id9">
        <w:r>
          <w:rPr>
            <w:rStyle w:val="Hyperlink"/>
          </w:rPr>
          <w:t xml:space="preserve">Overview of UNA analyses</w:t>
        </w:r>
      </w:hyperlink>
      <w:bookmarkEnd w:id="37"/>
    </w:p>
    <w:p>
      <w:pPr>
        <w:pStyle w:val="FirstParagraph"/>
      </w:pPr>
      <w:r>
        <w:t xml:space="preserve">With the network, point objects, and edge weights described above,</w:t>
      </w:r>
      <w:r>
        <w:t xml:space="preserve"> </w:t>
      </w:r>
      <w:r>
        <w:t xml:space="preserve">UNA’s engines can (i) compute fine-grain pedestrian or bike</w:t>
      </w:r>
      <w:r>
        <w:t xml:space="preserve"> </w:t>
      </w:r>
      <w:r>
        <w:t xml:space="preserve">accessibilities, (ii) output origin-destination cost matrices, and</w:t>
      </w:r>
      <w:r>
        <w:t xml:space="preserve"> </w:t>
      </w:r>
      <w:r>
        <w:t xml:space="preserve">(iii) estimate pedestrian or cycling flows over networks.</w:t>
      </w:r>
    </w:p>
    <w:p>
      <w:pPr>
        <w:pStyle w:val="BodyText"/>
      </w:pPr>
      <w:r>
        <w:rPr>
          <w:b/>
        </w:rPr>
        <w:t xml:space="preserve">Accessibility — “what can each origin reach?”</w:t>
      </w:r>
      <w:r>
        <w:t xml:space="preserve"> </w:t>
      </w:r>
      <w:r>
        <w:t xml:space="preserve">UNA computes a</w:t>
      </w:r>
      <w:r>
        <w:t xml:space="preserve"> </w:t>
      </w:r>
      <w:r>
        <w:t xml:space="preserve">numeric accessibility score at every origin point, summarizing how</w:t>
      </w:r>
      <w:r>
        <w:t xml:space="preserve"> </w:t>
      </w:r>
      <w:r>
        <w:t xml:space="preserve">well-connected that location is to surrounding destinations within a</w:t>
      </w:r>
      <w:r>
        <w:t xml:space="preserve"> </w:t>
      </w:r>
      <w:r>
        <w:t xml:space="preserve">chosen walking or biking radius. Three indices are provided:</w:t>
      </w:r>
    </w:p>
    <w:p>
      <w:pPr>
        <w:numPr>
          <w:ilvl w:val="0"/>
          <w:numId w:val="1004"/>
        </w:numPr>
      </w:pPr>
      <w:r>
        <w:rPr>
          <w:b/>
        </w:rPr>
        <w:t xml:space="preserve">Reach</w:t>
      </w:r>
      <w:r>
        <w:t xml:space="preserve"> </w:t>
      </w:r>
      <w:r>
        <w:t xml:space="preserve">counts the number (or summed weights) of destinations</w:t>
      </w:r>
      <w:r>
        <w:t xml:space="preserve"> </w:t>
      </w:r>
      <w:r>
        <w:t xml:space="preserve">within a radius — a “cumulative opportunities” index.</w:t>
      </w:r>
    </w:p>
    <w:p>
      <w:pPr>
        <w:numPr>
          <w:ilvl w:val="0"/>
          <w:numId w:val="1004"/>
        </w:numPr>
      </w:pPr>
      <w:r>
        <w:rPr>
          <w:b/>
        </w:rPr>
        <w:t xml:space="preserve">Gravity</w:t>
      </w:r>
      <w:r>
        <w:t xml:space="preserve"> </w:t>
      </w:r>
      <w:r>
        <w:t xml:space="preserve">weights each destination by an inverse function of its</w:t>
      </w:r>
      <w:r>
        <w:t xml:space="preserve"> </w:t>
      </w:r>
      <w:r>
        <w:t xml:space="preserve">network distance, so nearby destinations contribute more.</w:t>
      </w:r>
    </w:p>
    <w:p>
      <w:pPr>
        <w:numPr>
          <w:ilvl w:val="0"/>
          <w:numId w:val="1004"/>
        </w:numPr>
      </w:pPr>
      <w:r>
        <w:rPr>
          <w:b/>
        </w:rPr>
        <w:t xml:space="preserve">KNN accessibility</w:t>
      </w:r>
      <w:r>
        <w:t xml:space="preserve"> </w:t>
      </w:r>
      <w:r>
        <w:t xml:space="preserve">looks at the</w:t>
      </w:r>
      <w:r>
        <w:t xml:space="preserve"> </w:t>
      </w:r>
      <w:r>
        <w:rPr>
          <w:i/>
        </w:rPr>
        <w:t xml:space="preserve">k</w:t>
      </w:r>
      <w:r>
        <w:t xml:space="preserve"> </w:t>
      </w:r>
      <w:r>
        <w:t xml:space="preserve">nearest destinations of each</w:t>
      </w:r>
      <w:r>
        <w:t xml:space="preserve"> </w:t>
      </w:r>
      <w:r>
        <w:t xml:space="preserve">type (e.g. the 3 closest grocery stores, the closest school) and can</w:t>
      </w:r>
      <w:r>
        <w:t xml:space="preserve"> </w:t>
      </w:r>
      <w:r>
        <w:t xml:space="preserve">combine them into one composite score (using the UNA_Batch function) — conceptually similar to a</w:t>
      </w:r>
      <w:r>
        <w:t xml:space="preserve"> </w:t>
      </w:r>
      <w:r>
        <w:t xml:space="preserve">WalkScore-style index.</w:t>
      </w:r>
    </w:p>
    <w:p>
      <w:pPr>
        <w:pStyle w:val="FirstParagraph"/>
      </w:pPr>
      <w:r>
        <w:rPr>
          <w:b/>
        </w:rPr>
        <w:t xml:space="preserve">Flow estimation — “which streets are the trips likely to use?”</w:t>
      </w:r>
      <w:r>
        <w:t xml:space="preserve"> </w:t>
      </w:r>
      <w:r>
        <w:t xml:space="preserve">Given trips from origins to destinations, UNA’s</w:t>
      </w:r>
      <w:r>
        <w:t xml:space="preserve"> </w:t>
      </w:r>
      <w:r>
        <w:rPr>
          <w:b/>
        </w:rPr>
        <w:t xml:space="preserve">flow</w:t>
      </w:r>
      <w:r>
        <w:t xml:space="preserve"> </w:t>
      </w:r>
      <w:r>
        <w:t xml:space="preserve">analysis</w:t>
      </w:r>
      <w:r>
        <w:t xml:space="preserve"> </w:t>
      </w:r>
      <w:r>
        <w:t xml:space="preserve">computes how many pass through each network edge, producing a</w:t>
      </w:r>
      <w:r>
        <w:t xml:space="preserve"> </w:t>
      </w:r>
      <w:r>
        <w:t xml:space="preserve">per-segment flow estimate. OD pairs can represent any trip purpose:</w:t>
      </w:r>
      <w:r>
        <w:t xml:space="preserve"> </w:t>
      </w:r>
      <w:r>
        <w:t xml:space="preserve">homes to schools, homes to transit, employees to lunch, tourists to</w:t>
      </w:r>
      <w:r>
        <w:t xml:space="preserve"> </w:t>
      </w:r>
      <w:r>
        <w:t xml:space="preserve">landmarks. The result is a network map where every edge carries its</w:t>
      </w:r>
      <w:r>
        <w:t xml:space="preserve"> </w:t>
      </w:r>
      <w:r>
        <w:t xml:space="preserve">expected traffic load — the basis for identifying high-traffic</w:t>
      </w:r>
      <w:r>
        <w:t xml:space="preserve"> </w:t>
      </w:r>
      <w:r>
        <w:t xml:space="preserve">corridors, targeting pedestrian-friendly investment, and revealing</w:t>
      </w:r>
      <w:r>
        <w:t xml:space="preserve"> </w:t>
      </w:r>
      <w:r>
        <w:t xml:space="preserve">which routes would gain or lose flow with changes to the built</w:t>
      </w:r>
      <w:r>
        <w:t xml:space="preserve"> </w:t>
      </w:r>
      <w:r>
        <w:t xml:space="preserve">environment. Flow analysis can also output flow at network nodes, and return directional estimates for segments (A&gt;B versus B&gt;A, where A refers to the start of segment geometry).</w:t>
      </w:r>
    </w:p>
    <w:p>
      <w:pPr>
        <w:pStyle w:val="CaptionedFigure"/>
      </w:pPr>
      <w:r>
        <w:drawing>
          <wp:inline>
            <wp:extent cx="6159500" cy="1735320"/>
            <wp:effectExtent b="0" l="0" r="0" t="0"/>
            <wp:docPr descr="The two families of UNA outputs. Left: per-origin accessibility scores (color = score; one number per point). Right: per-edge flow (thickness and color = trip volume; one number per edge)." title="" id="1" name="Picture"/>
            <a:graphic>
              <a:graphicData uri="http://schemas.openxmlformats.org/drawingml/2006/picture">
                <pic:pic>
                  <pic:nvPicPr>
                    <pic:cNvPr descr="../_images/t1_image7.png" id="0" name="Picture"/>
                    <pic:cNvPicPr>
                      <a:picLocks noChangeArrowheads="1" noChangeAspect="1"/>
                    </pic:cNvPicPr>
                  </pic:nvPicPr>
                  <pic:blipFill>
                    <a:blip r:embed="rId38"/>
                    <a:stretch>
                      <a:fillRect/>
                    </a:stretch>
                  </pic:blipFill>
                  <pic:spPr bwMode="auto">
                    <a:xfrm>
                      <a:off x="0" y="0"/>
                      <a:ext cx="6159500" cy="1735320"/>
                    </a:xfrm>
                    <a:prstGeom prst="rect">
                      <a:avLst/>
                    </a:prstGeom>
                    <a:noFill/>
                    <a:ln w="9525">
                      <a:noFill/>
                      <a:headEnd/>
                      <a:tailEnd/>
                    </a:ln>
                  </pic:spPr>
                </pic:pic>
              </a:graphicData>
            </a:graphic>
          </wp:inline>
        </w:drawing>
      </w:r>
    </w:p>
    <w:p>
      <w:pPr>
        <w:pStyle w:val="ImageCaption"/>
      </w:pPr>
      <w:r>
        <w:t xml:space="preserve">The two families of UNA outputs. Left: per-origin accessibility</w:t>
      </w:r>
      <w:r>
        <w:t xml:space="preserve"> </w:t>
      </w:r>
      <w:r>
        <w:t xml:space="preserve">scores (color = score; one number per point). Right: per-edge flow</w:t>
      </w:r>
      <w:r>
        <w:t xml:space="preserve"> </w:t>
      </w:r>
      <w:r>
        <w:t xml:space="preserve">(thickness and color = trip volume; one number per edge).</w:t>
      </w:r>
    </w:p>
    <w:p>
      <w:pPr>
        <w:pStyle w:val="BodyText"/>
      </w:pPr>
      <w:r>
        <w:rPr>
          <w:b/>
        </w:rPr>
        <w:t xml:space="preserve">From estimates to calibrated predictive models.</w:t>
      </w:r>
      <w:r>
        <w:t xml:space="preserve"> </w:t>
      </w:r>
      <w:r>
        <w:t xml:space="preserve">Estimated flows</w:t>
      </w:r>
      <w:r>
        <w:t xml:space="preserve"> </w:t>
      </w:r>
      <w:r>
        <w:t xml:space="preserve">are descriptive on their own, but become</w:t>
      </w:r>
      <w:r>
        <w:t xml:space="preserve"> </w:t>
      </w:r>
      <w:r>
        <w:rPr>
          <w:i/>
        </w:rPr>
        <w:t xml:space="preserve">predictive</w:t>
      </w:r>
      <w:r>
        <w:t xml:space="preserve"> </w:t>
      </w:r>
      <w:r>
        <w:t xml:space="preserve">when calibrated</w:t>
      </w:r>
      <w:r>
        <w:t xml:space="preserve"> </w:t>
      </w:r>
      <w:r>
        <w:t xml:space="preserve">against observed pedestrian or bicycle counts — a morning of intercept</w:t>
      </w:r>
      <w:r>
        <w:t xml:space="preserve"> </w:t>
      </w:r>
      <w:r>
        <w:t xml:space="preserve">surveys or a week of automated counter data. Once calibrated, the same</w:t>
      </w:r>
      <w:r>
        <w:t xml:space="preserve"> </w:t>
      </w:r>
      <w:r>
        <w:t xml:space="preserve">model answers scenario questions: how would volumes change if nearby</w:t>
      </w:r>
      <w:r>
        <w:t xml:space="preserve"> </w:t>
      </w:r>
      <w:r>
        <w:t xml:space="preserve">land uses changed, or if a street upgrade changed its perceived</w:t>
      </w:r>
      <w:r>
        <w:t xml:space="preserve"> </w:t>
      </w:r>
      <w:r>
        <w:t xml:space="preserve">length? These are the “what-if” questions planning agencies need.</w:t>
      </w:r>
    </w:p>
    <w:p>
      <w:pPr>
        <w:pStyle w:val="BodyText"/>
      </w:pPr>
      <w:r>
        <w:t xml:space="preserve">See also</w:t>
      </w:r>
    </w:p>
    <w:p>
      <w:pPr>
        <w:pStyle w:val="BodyText"/>
      </w:pPr>
      <w:r>
        <w:t xml:space="preserve">For examples of pedestrian volume models with calibrated flows based</w:t>
      </w:r>
      <w:r>
        <w:t xml:space="preserve"> </w:t>
      </w:r>
      <w:r>
        <w:t xml:space="preserve">on observed pedestrian counts, see:</w:t>
      </w:r>
    </w:p>
    <w:p>
      <w:pPr>
        <w:numPr>
          <w:ilvl w:val="0"/>
          <w:numId w:val="1005"/>
        </w:numPr>
      </w:pPr>
      <w:r>
        <w:t xml:space="preserve">Sevtsuk, A., Basu, R., Liu, L., Alhassan, A., &amp; Kollar, J. (2026).</w:t>
      </w:r>
      <w:r>
        <w:t xml:space="preserve"> </w:t>
      </w:r>
      <w:r>
        <w:t xml:space="preserve">Spatial Distribution of Foot-traffic in New York City and</w:t>
      </w:r>
      <w:r>
        <w:t xml:space="preserve"> </w:t>
      </w:r>
      <w:r>
        <w:t xml:space="preserve">Applications for Urban Planning.</w:t>
      </w:r>
      <w:r>
        <w:t xml:space="preserve"> </w:t>
      </w:r>
      <w:r>
        <w:rPr>
          <w:i/>
        </w:rPr>
        <w:t xml:space="preserve">Nature Cities</w:t>
      </w:r>
      <w:r>
        <w:t xml:space="preserve">.</w:t>
      </w:r>
      <w:r>
        <w:t xml:space="preserve"> </w:t>
      </w:r>
      <w:hyperlink r:id="rId39">
        <w:r>
          <w:rPr>
            <w:rStyle w:val="Hyperlink"/>
          </w:rPr>
          <w:t xml:space="preserve">https://doi.org/10.1038/s44284-025-00383-y</w:t>
        </w:r>
      </w:hyperlink>
    </w:p>
    <w:p>
      <w:pPr>
        <w:numPr>
          <w:ilvl w:val="0"/>
          <w:numId w:val="1005"/>
        </w:numPr>
      </w:pPr>
      <w:r>
        <w:t xml:space="preserve">Sevtsuk, A., Kollar, J., Pratama, D., Haddad, J., Basu, R.,</w:t>
      </w:r>
      <w:r>
        <w:t xml:space="preserve"> </w:t>
      </w:r>
      <w:r>
        <w:t xml:space="preserve">Alhassan, A., Chancey, B., Makhlouf, R., Halabi, J., &amp;</w:t>
      </w:r>
      <w:r>
        <w:t xml:space="preserve"> </w:t>
      </w:r>
      <w:r>
        <w:t xml:space="preserve">Abou-Zeid, M. (2024). Pedestrian-Oriented Development in Beirut:</w:t>
      </w:r>
      <w:r>
        <w:t xml:space="preserve"> </w:t>
      </w:r>
      <w:r>
        <w:t xml:space="preserve">A Framework for Estimating Urban Design Impacts on Pedestrian</w:t>
      </w:r>
      <w:r>
        <w:t xml:space="preserve"> </w:t>
      </w:r>
      <w:r>
        <w:t xml:space="preserve">Flows through Modeling, Participatory Design, and Scenario</w:t>
      </w:r>
      <w:r>
        <w:t xml:space="preserve"> </w:t>
      </w:r>
      <w:r>
        <w:t xml:space="preserve">Analysis.</w:t>
      </w:r>
      <w:r>
        <w:t xml:space="preserve"> </w:t>
      </w:r>
      <w:r>
        <w:rPr>
          <w:i/>
        </w:rPr>
        <w:t xml:space="preserve">Cities</w:t>
      </w:r>
      <w:r>
        <w:t xml:space="preserve">.</w:t>
      </w:r>
      <w:r>
        <w:t xml:space="preserve"> </w:t>
      </w:r>
      <w:hyperlink r:id="rId40">
        <w:r>
          <w:rPr>
            <w:rStyle w:val="Hyperlink"/>
          </w:rPr>
          <w:t xml:space="preserve">https://doi.org/10.1016/j.cities.2024.104927</w:t>
        </w:r>
      </w:hyperlink>
    </w:p>
    <w:p>
      <w:pPr>
        <w:numPr>
          <w:ilvl w:val="0"/>
          <w:numId w:val="1005"/>
        </w:numPr>
      </w:pPr>
      <w:r>
        <w:t xml:space="preserve">Sevtsuk, A., Basu, R., &amp; Chancey, B. (2021). We shape our</w:t>
      </w:r>
      <w:r>
        <w:t xml:space="preserve"> </w:t>
      </w:r>
      <w:r>
        <w:t xml:space="preserve">buildings, but do they then shape us? A longitudinal analysis of</w:t>
      </w:r>
      <w:r>
        <w:t xml:space="preserve"> </w:t>
      </w:r>
      <w:r>
        <w:t xml:space="preserve">pedestrian flows and development activity in Melbourne.</w:t>
      </w:r>
      <w:r>
        <w:t xml:space="preserve"> </w:t>
      </w:r>
      <w:r>
        <w:rPr>
          <w:i/>
        </w:rPr>
        <w:t xml:space="preserve">PLOS ONE</w:t>
      </w:r>
      <w:r>
        <w:t xml:space="preserve">.</w:t>
      </w:r>
      <w:r>
        <w:t xml:space="preserve"> </w:t>
      </w:r>
      <w:hyperlink r:id="rId41">
        <w:r>
          <w:rPr>
            <w:rStyle w:val="Hyperlink"/>
          </w:rPr>
          <w:t xml:space="preserve">https://doi.org/10.1371/journal.pone.0257534</w:t>
        </w:r>
      </w:hyperlink>
    </w:p>
    <w:p>
      <w:pPr>
        <w:numPr>
          <w:ilvl w:val="0"/>
          <w:numId w:val="1005"/>
        </w:numPr>
      </w:pPr>
      <w:r>
        <w:t xml:space="preserve">Sevtsuk, A. (2021). Estimating pedestrian flows on street</w:t>
      </w:r>
      <w:r>
        <w:t xml:space="preserve"> </w:t>
      </w:r>
      <w:r>
        <w:t xml:space="preserve">networks: revisiting the betweenness index.</w:t>
      </w:r>
      <w:r>
        <w:t xml:space="preserve"> </w:t>
      </w:r>
      <w:r>
        <w:rPr>
          <w:i/>
        </w:rPr>
        <w:t xml:space="preserve">Journal of the</w:t>
      </w:r>
      <w:r>
        <w:rPr>
          <w:i/>
        </w:rPr>
        <w:t xml:space="preserve"> </w:t>
      </w:r>
      <w:r>
        <w:rPr>
          <w:i/>
        </w:rPr>
        <w:t xml:space="preserve">American Planning Association</w:t>
      </w:r>
      <w:r>
        <w:t xml:space="preserve">, 87(4), 512–526.</w:t>
      </w:r>
      <w:r>
        <w:t xml:space="preserve"> </w:t>
      </w:r>
      <w:hyperlink r:id="rId42">
        <w:r>
          <w:rPr>
            <w:rStyle w:val="Hyperlink"/>
          </w:rPr>
          <w:t xml:space="preserve">https://doi.org/10.1080/01944363.2020.1864758</w:t>
        </w:r>
      </w:hyperlink>
    </w:p>
    <w:bookmarkEnd w:id="43"/>
    <w:bookmarkStart w:id="48" w:name="summary"/>
    <w:p>
      <w:pPr>
        <w:pStyle w:val="Heading2"/>
      </w:pPr>
      <w:bookmarkStart w:id="44" w:name="summary"/>
      <w:hyperlink w:anchor="id10">
        <w:r>
          <w:rPr>
            <w:rStyle w:val="Hyperlink"/>
          </w:rPr>
          <w:t xml:space="preserve">Summary</w:t>
        </w:r>
      </w:hyperlink>
      <w:bookmarkEnd w:id="44"/>
    </w:p>
    <w:p>
      <w:pPr>
        <w:pStyle w:val="FirstParagraph"/>
      </w:pPr>
      <w:r>
        <w:t xml:space="preserve">The network is a graph of edges joined at shared endpoints; crossings</w:t>
      </w:r>
      <w:r>
        <w:t xml:space="preserve"> </w:t>
      </w:r>
      <w:r>
        <w:t xml:space="preserve">without shared endpoints become overpasses/underpasses; weighted</w:t>
      </w:r>
      <w:r>
        <w:t xml:space="preserve"> </w:t>
      </w:r>
      <w:r>
        <w:t xml:space="preserve">origins and destinations are point objects that snap to edges; and the</w:t>
      </w:r>
      <w:r>
        <w:t xml:space="preserve"> </w:t>
      </w:r>
      <w:r>
        <w:t xml:space="preserve">edge cost can be either ground length or a perceived length capturing</w:t>
      </w:r>
      <w:r>
        <w:t xml:space="preserve"> </w:t>
      </w:r>
      <w:r>
        <w:t xml:space="preserve">the pedestrian experience of the street. These four concepts are the</w:t>
      </w:r>
      <w:r>
        <w:t xml:space="preserve"> </w:t>
      </w:r>
      <w:r>
        <w:t xml:space="preserve">foundation for every accessibility and flow analysis in</w:t>
      </w:r>
      <w:r>
        <w:t xml:space="preserve"> </w:t>
      </w:r>
      <w:hyperlink r:id="rId45">
        <w:r>
          <w:rPr>
            <w:rStyle w:val="Hyperlink"/>
          </w:rPr>
          <w:t xml:space="preserve">Tutorial 2 — Accessibility step-by-step (Boston)</w:t>
        </w:r>
      </w:hyperlink>
      <w:r>
        <w:t xml:space="preserve">,</w:t>
      </w:r>
      <w:r>
        <w:t xml:space="preserve"> </w:t>
      </w:r>
      <w:hyperlink r:id="rId46">
        <w:r>
          <w:rPr>
            <w:rStyle w:val="Hyperlink"/>
          </w:rPr>
          <w:t xml:space="preserve">Tutorial 3 — Foot-traffic flow analysis in Cambridge</w:t>
        </w:r>
      </w:hyperlink>
      <w:r>
        <w:t xml:space="preserve">, and</w:t>
      </w:r>
      <w:r>
        <w:t xml:space="preserve"> </w:t>
      </w:r>
      <w:hyperlink r:id="rId47">
        <w:r>
          <w:rPr>
            <w:rStyle w:val="Hyperlink"/>
          </w:rPr>
          <w:t xml:space="preserve">Tutorial 4 — Evaluating a design intervention</w:t>
        </w:r>
      </w:hyperlink>
      <w:r>
        <w:t xml:space="preserve">.</w:t>
      </w:r>
    </w:p>
    <w:bookmarkEnd w:id="48"/>
    <w:bookmarkEnd w:id="49"/>
    <w:sectPr w:rsidR="005C4CAB" w:rsidRPr="00276791">
      <w:headerReference w:type="default" r:id="rId9"/>
      <w:footerReference w:type="even" r:id="rId11"/>
      <w:footerReference w:type="default" r:id="rId10"/>
      <w:pgSz w:w="11906" w:h="16838"/>
      <w:pgMar w:top="1100" w:right="1100" w:bottom="1100" w:left="1100" w:header="708" w:footer="708"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239302"/>
      <w:docPartObj>
        <w:docPartGallery w:val="Page Numbers (Bottom of Page)"/>
        <w:docPartUnique/>
      </w:docPartObj>
    </w:sdtPr>
    <w:sdtContent>
      <w:p w14:paraId="66602F01" w14:textId="544189D3" w:rsidR="00185D71" w:rsidRDefault="00185D71" w:rsidP="007061D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A5A2B7" w14:textId="77777777" w:rsidR="00185D71" w:rsidRDefault="00185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7522184"/>
      <w:docPartObj>
        <w:docPartGallery w:val="Page Numbers (Bottom of Page)"/>
        <w:docPartUnique/>
      </w:docPartObj>
    </w:sdtPr>
    <w:sdtContent>
      <w:p w14:paraId="55576F48" w14:textId="7F3938E0" w:rsidR="00185D71" w:rsidRDefault="00185D71" w:rsidP="007061D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A533650" w14:textId="77777777" w:rsidR="00185D71" w:rsidRDefault="00185D71">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A4486D" w14:textId="7ECD4760" w:rsidR="00185D71" w:rsidRPr="00185D71" w:rsidRDefault="00276791" w:rsidP="00185D71">
    <w:pPr>
      <w:pStyle w:val="Header"/>
      <w:rPr>
        <w:rFonts w:ascii="Aptos" w:hAnsi="Aptos"/>
        <w:b/>
        <w:bCs/>
      </w:rPr>
    </w:pPr>
    <w:r>
      <w:rPr>
        <w:rFonts w:ascii="Aptos" w:hAnsi="Aptos"/>
        <w:b/>
        <w:bCs/>
      </w:rPr>
      <w:t>UNA</w:t>
    </w:r>
    <w:r w:rsidR="00185D71" w:rsidRPr="00185D71">
      <w:rPr>
        <w:rFonts w:ascii="Aptos" w:hAnsi="Aptos"/>
        <w:b/>
        <w:bCs/>
      </w:rPr>
      <w:t xml:space="preserve"> </w:t>
    </w:r>
    <w:r>
      <w:rPr>
        <w:rFonts w:ascii="Aptos" w:hAnsi="Aptos"/>
        <w:b/>
        <w:bCs/>
      </w:rPr>
      <w:t>Python 2026</w:t>
    </w:r>
  </w:p>
  <w:p w14:paraId="483B2168" w14:textId="7B14B4EA" w:rsidR="00185D71" w:rsidRDefault="00276791" w:rsidP="00185D71">
    <w:pPr>
      <w:pStyle w:val="Header"/>
      <w:rPr>
        <w:rFonts w:ascii="Aptos" w:hAnsi="Aptos"/>
      </w:rPr>
    </w:pPr>
    <w:r w:rsidRPr="00276791">
      <w:rPr>
        <w:rFonts w:ascii="Aptos" w:hAnsi="Aptos"/>
        <w:b/>
        <w:bCs/>
      </w:rPr>
      <w:t>City Form Lab</w:t>
    </w:r>
    <w:r w:rsidR="00185D71" w:rsidRPr="00185D71">
      <w:rPr>
        <w:rFonts w:ascii="Aptos" w:hAnsi="Aptos"/>
      </w:rPr>
      <w:t xml:space="preserve">, </w:t>
    </w:r>
    <w:r w:rsidR="00185D71">
      <w:rPr>
        <w:rFonts w:ascii="Aptos" w:hAnsi="Aptos"/>
      </w:rPr>
      <w:t>Department of Urban Studies and Planning</w:t>
    </w:r>
    <w:r>
      <w:rPr>
        <w:rFonts w:ascii="Aptos" w:hAnsi="Aptos"/>
      </w:rPr>
      <w:t>,</w:t>
    </w:r>
    <w:r w:rsidR="00185D71" w:rsidRPr="00185D71">
      <w:rPr>
        <w:rFonts w:ascii="Aptos" w:hAnsi="Aptos"/>
      </w:rPr>
      <w:t xml:space="preserve"> MIT</w:t>
    </w:r>
    <w:r w:rsidR="00AA6B7B">
      <w:rPr>
        <w:rFonts w:ascii="Aptos" w:hAnsi="Aptos"/>
      </w:rPr>
      <w:t>.</w:t>
    </w:r>
  </w:p>
  <w:p w14:paraId="5267F621" w14:textId="77777777" w:rsidR="00276791" w:rsidRPr="00185D71" w:rsidRDefault="00276791" w:rsidP="00185D71">
    <w:pPr>
      <w:pStyle w:val="Header"/>
      <w:rPr>
        <w:rFonts w:ascii="Aptos" w:hAnsi="Aptos"/>
      </w:rPr>
    </w:pPr>
  </w:p>
  <w:p w14:paraId="59BC4B7A" w14:textId="03E8D972" w:rsidR="00185D71" w:rsidRDefault="00185D71" w:rsidP="00185D71">
    <w:pPr>
      <w:pStyle w:val="Header"/>
    </w:pPr>
    <w:r>
      <w:rPr>
        <w:noProof/>
      </w:rPr>
      <mc:AlternateContent>
        <mc:Choice Requires="wps">
          <w:drawing>
            <wp:anchor distT="0" distB="0" distL="114300" distR="114300" simplePos="0" relativeHeight="251659264" behindDoc="0" locked="0" layoutInCell="1" allowOverlap="1" wp14:anchorId="16EAA8FB" wp14:editId="709A3F3C">
              <wp:simplePos x="0" y="0"/>
              <wp:positionH relativeFrom="column">
                <wp:posOffset>13533</wp:posOffset>
              </wp:positionH>
              <wp:positionV relativeFrom="paragraph">
                <wp:posOffset>50009</wp:posOffset>
              </wp:positionV>
              <wp:extent cx="5924862" cy="0"/>
              <wp:effectExtent l="0" t="12700" r="19050" b="12700"/>
              <wp:wrapNone/>
              <wp:docPr id="91630007" name="Straight Connector 1"/>
              <wp:cNvGraphicFramePr/>
              <a:graphic xmlns:a="http://schemas.openxmlformats.org/drawingml/2006/main">
                <a:graphicData uri="http://schemas.microsoft.com/office/word/2010/wordprocessingShape">
                  <wps:wsp>
                    <wps:cNvCnPr/>
                    <wps:spPr>
                      <a:xfrm>
                        <a:off x="0" y="0"/>
                        <a:ext cx="592486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63855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3.95pt" to="467.55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&#13;&#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E53834"/>
    <w:multiLevelType w:val="hybridMultilevel"/>
    <w:tmpl w:val="AAE20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F40638"/>
    <w:multiLevelType w:val="hybridMultilevel"/>
    <w:tmpl w:val="A296C2A6"/>
    <w:lvl w:ilvl="0" w:tplc="E33E6964">
      <w:start w:val="1"/>
      <w:numFmt w:val="bullet"/>
      <w:lvlText w:val="•"/>
      <w:lvlJc w:val="left"/>
      <w:pPr>
        <w:ind w:left="360" w:hanging="200"/>
      </w:pPr>
    </w:lvl>
    <w:lvl w:ilvl="1" w:tplc="8D266A9E">
      <w:numFmt w:val="decimal"/>
      <w:lvlText w:val=""/>
      <w:lvlJc w:val="left"/>
    </w:lvl>
    <w:lvl w:ilvl="2" w:tplc="B30C4146">
      <w:numFmt w:val="decimal"/>
      <w:lvlText w:val=""/>
      <w:lvlJc w:val="left"/>
    </w:lvl>
    <w:lvl w:ilvl="3" w:tplc="93DE2B96">
      <w:numFmt w:val="decimal"/>
      <w:lvlText w:val=""/>
      <w:lvlJc w:val="left"/>
    </w:lvl>
    <w:lvl w:ilvl="4" w:tplc="A3D6EEEC">
      <w:numFmt w:val="decimal"/>
      <w:lvlText w:val=""/>
      <w:lvlJc w:val="left"/>
    </w:lvl>
    <w:lvl w:ilvl="5" w:tplc="517EBE2E">
      <w:numFmt w:val="decimal"/>
      <w:lvlText w:val=""/>
      <w:lvlJc w:val="left"/>
    </w:lvl>
    <w:lvl w:ilvl="6" w:tplc="937EE700">
      <w:numFmt w:val="decimal"/>
      <w:lvlText w:val=""/>
      <w:lvlJc w:val="left"/>
    </w:lvl>
    <w:lvl w:ilvl="7" w:tplc="94F4E61C">
      <w:numFmt w:val="decimal"/>
      <w:lvlText w:val=""/>
      <w:lvlJc w:val="left"/>
    </w:lvl>
    <w:lvl w:ilvl="8" w:tplc="74B01A3A">
      <w:numFmt w:val="decimal"/>
      <w:lvlText w:val=""/>
      <w:lvlJc w:val="left"/>
    </w:lvl>
  </w:abstractNum>
  <w:abstractNum w:abstractNumId="2" w15:restartNumberingAfterBreak="0">
    <w:nsid w:val="504A7706"/>
    <w:multiLevelType w:val="hybridMultilevel"/>
    <w:tmpl w:val="0BA05AEA"/>
    <w:lvl w:ilvl="0" w:tplc="D1F2C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7E0620"/>
    <w:multiLevelType w:val="hybridMultilevel"/>
    <w:tmpl w:val="40849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0325F7"/>
    <w:multiLevelType w:val="hybridMultilevel"/>
    <w:tmpl w:val="452C30FE"/>
    <w:lvl w:ilvl="0" w:tplc="FF8A179E">
      <w:start w:val="1"/>
      <w:numFmt w:val="bullet"/>
      <w:lvlText w:val="●"/>
      <w:lvlJc w:val="left"/>
      <w:pPr>
        <w:ind w:left="720" w:hanging="360"/>
      </w:pPr>
    </w:lvl>
    <w:lvl w:ilvl="1" w:tplc="550895B6">
      <w:start w:val="1"/>
      <w:numFmt w:val="bullet"/>
      <w:lvlText w:val="○"/>
      <w:lvlJc w:val="left"/>
      <w:pPr>
        <w:ind w:left="1440" w:hanging="360"/>
      </w:pPr>
    </w:lvl>
    <w:lvl w:ilvl="2" w:tplc="CE427590">
      <w:start w:val="1"/>
      <w:numFmt w:val="bullet"/>
      <w:lvlText w:val="■"/>
      <w:lvlJc w:val="left"/>
      <w:pPr>
        <w:ind w:left="2160" w:hanging="360"/>
      </w:pPr>
    </w:lvl>
    <w:lvl w:ilvl="3" w:tplc="87D2F4AE">
      <w:start w:val="1"/>
      <w:numFmt w:val="bullet"/>
      <w:lvlText w:val="●"/>
      <w:lvlJc w:val="left"/>
      <w:pPr>
        <w:ind w:left="2880" w:hanging="360"/>
      </w:pPr>
    </w:lvl>
    <w:lvl w:ilvl="4" w:tplc="7DC803E2">
      <w:start w:val="1"/>
      <w:numFmt w:val="bullet"/>
      <w:lvlText w:val="○"/>
      <w:lvlJc w:val="left"/>
      <w:pPr>
        <w:ind w:left="3600" w:hanging="360"/>
      </w:pPr>
    </w:lvl>
    <w:lvl w:ilvl="5" w:tplc="6A86FFA8">
      <w:start w:val="1"/>
      <w:numFmt w:val="bullet"/>
      <w:lvlText w:val="■"/>
      <w:lvlJc w:val="left"/>
      <w:pPr>
        <w:ind w:left="4320" w:hanging="360"/>
      </w:pPr>
    </w:lvl>
    <w:lvl w:ilvl="6" w:tplc="5E740D98">
      <w:start w:val="1"/>
      <w:numFmt w:val="bullet"/>
      <w:lvlText w:val="●"/>
      <w:lvlJc w:val="left"/>
      <w:pPr>
        <w:ind w:left="5040" w:hanging="360"/>
      </w:pPr>
    </w:lvl>
    <w:lvl w:ilvl="7" w:tplc="EC18E84E">
      <w:start w:val="1"/>
      <w:numFmt w:val="bullet"/>
      <w:lvlText w:val="●"/>
      <w:lvlJc w:val="left"/>
      <w:pPr>
        <w:ind w:left="5760" w:hanging="360"/>
      </w:pPr>
    </w:lvl>
    <w:lvl w:ilvl="8" w:tplc="BD0C29AA">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040347939">
    <w:abstractNumId w:val="4"/>
    <w:lvlOverride w:ilvl="0">
      <w:startOverride w:val="1"/>
    </w:lvlOverride>
  </w:num>
  <w:num w:numId="2" w16cid:durableId="1913271072">
    <w:abstractNumId w:val="1"/>
    <w:lvlOverride w:ilvl="0">
      <w:startOverride w:val="1"/>
    </w:lvlOverride>
  </w:num>
  <w:num w:numId="3" w16cid:durableId="1807315835">
    <w:abstractNumId w:val="0"/>
  </w:num>
  <w:num w:numId="4" w16cid:durableId="1260795352">
    <w:abstractNumId w:val="3"/>
  </w:num>
  <w:num w:numId="5" w16cid:durableId="21299339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00"/>
      <w:outlineLvl w:val="0"/>
    </w:pPr>
    <w:rPr>
      <w:b/>
      <w:bCs/>
      <w:color w:val="1F3864"/>
      <w:sz w:val="32"/>
      <w:szCs w:val="32"/>
    </w:rPr>
  </w:style>
  <w:style w:type="paragraph" w:styleId="Heading2">
    <w:name w:val="heading 2"/>
    <w:uiPriority w:val="9"/>
    <w:unhideWhenUsed/>
    <w:qFormat/>
    <w:pPr>
      <w:spacing w:before="200" w:after="6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185D71"/>
    <w:pPr>
      <w:tabs>
        <w:tab w:val="center" w:pos="4680"/>
        <w:tab w:val="right" w:pos="9360"/>
      </w:tabs>
    </w:pPr>
  </w:style>
  <w:style w:type="character" w:customStyle="1" w:styleId="FooterChar">
    <w:name w:val="Footer Char"/>
    <w:basedOn w:val="DefaultParagraphFont"/>
    <w:link w:val="Footer"/>
    <w:uiPriority w:val="99"/>
    <w:rsid w:val="00185D71"/>
  </w:style>
  <w:style w:type="character" w:styleId="PageNumber">
    <w:name w:val="page number"/>
    <w:basedOn w:val="DefaultParagraphFont"/>
    <w:uiPriority w:val="99"/>
    <w:semiHidden/>
    <w:unhideWhenUsed/>
    <w:rsid w:val="00185D71"/>
  </w:style>
  <w:style w:type="paragraph" w:styleId="Header">
    <w:name w:val="header"/>
    <w:basedOn w:val="Normal"/>
    <w:link w:val="HeaderChar"/>
    <w:uiPriority w:val="99"/>
    <w:unhideWhenUsed/>
    <w:rsid w:val="00185D71"/>
    <w:pPr>
      <w:tabs>
        <w:tab w:val="center" w:pos="4680"/>
        <w:tab w:val="right" w:pos="9360"/>
      </w:tabs>
    </w:pPr>
  </w:style>
  <w:style w:type="character" w:customStyle="1" w:styleId="HeaderChar">
    <w:name w:val="Header Char"/>
    <w:basedOn w:val="DefaultParagraphFont"/>
    <w:link w:val="Header"/>
    <w:uiPriority w:val="99"/>
    <w:rsid w:val="00185D71"/>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2.xml" /><Relationship Id="rId11" Type="http://schemas.openxmlformats.org/officeDocument/2006/relationships/footer" Target="footer1.xml"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hyperlink" Id="rId25" Target="../concepts/elevation_turns.html" TargetMode="External" /><Relationship Type="http://schemas.openxmlformats.org/officeDocument/2006/relationships/hyperlink" Id="rId40" Target="https://doi.org/10.1016/j.cities.2024.104927" TargetMode="External" /><Relationship Type="http://schemas.openxmlformats.org/officeDocument/2006/relationships/hyperlink" Id="rId35" Target="https://doi.org/10.1016/j.cities.2024.105435" TargetMode="External" /><Relationship Type="http://schemas.openxmlformats.org/officeDocument/2006/relationships/hyperlink" Id="rId34" Target="https://doi.org/10.1016/j.jtrangeo.2022.103392" TargetMode="External" /><Relationship Type="http://schemas.openxmlformats.org/officeDocument/2006/relationships/hyperlink" Id="rId32" Target="https://doi.org/10.1016/j.tbs.2021.05.010" TargetMode="External" /><Relationship Type="http://schemas.openxmlformats.org/officeDocument/2006/relationships/hyperlink" Id="rId33" Target="https://doi.org/10.1016/j.tra.2022.06.007" TargetMode="External" /><Relationship Type="http://schemas.openxmlformats.org/officeDocument/2006/relationships/hyperlink" Id="rId39" Target="https://doi.org/10.1038/s44284-025-00383-y" TargetMode="External" /><Relationship Type="http://schemas.openxmlformats.org/officeDocument/2006/relationships/hyperlink" Id="rId42" Target="https://doi.org/10.1080/01944363.2020.1864758" TargetMode="External" /><Relationship Type="http://schemas.openxmlformats.org/officeDocument/2006/relationships/hyperlink" Id="rId41" Target="https://doi.org/10.1371/journal.pone.0257534" TargetMode="External" /><Relationship Type="http://schemas.openxmlformats.org/officeDocument/2006/relationships/hyperlink" Id="rId45" Target="tutorial_2_accessibility.html" TargetMode="External" /><Relationship Type="http://schemas.openxmlformats.org/officeDocument/2006/relationships/hyperlink" Id="rId46" Target="tutorial_3_flow.html" TargetMode="External" /><Relationship Type="http://schemas.openxmlformats.org/officeDocument/2006/relationships/hyperlink" Id="rId47" Target="tutorial_4_design_impact.html" TargetMode="External" /></Relationships>
</file>

<file path=word/_rels/footnotes.xml.rels><?xml version="1.0" encoding="UTF-8"?>
<Relationships xmlns="http://schemas.openxmlformats.org/package/2006/relationships"><Relationship Type="http://schemas.openxmlformats.org/officeDocument/2006/relationships/hyperlink" Id="rId25" Target="../concepts/elevation_turns.html" TargetMode="External" /><Relationship Type="http://schemas.openxmlformats.org/officeDocument/2006/relationships/hyperlink" Id="rId40" Target="https://doi.org/10.1016/j.cities.2024.104927" TargetMode="External" /><Relationship Type="http://schemas.openxmlformats.org/officeDocument/2006/relationships/hyperlink" Id="rId35" Target="https://doi.org/10.1016/j.cities.2024.105435" TargetMode="External" /><Relationship Type="http://schemas.openxmlformats.org/officeDocument/2006/relationships/hyperlink" Id="rId34" Target="https://doi.org/10.1016/j.jtrangeo.2022.103392" TargetMode="External" /><Relationship Type="http://schemas.openxmlformats.org/officeDocument/2006/relationships/hyperlink" Id="rId32" Target="https://doi.org/10.1016/j.tbs.2021.05.010" TargetMode="External" /><Relationship Type="http://schemas.openxmlformats.org/officeDocument/2006/relationships/hyperlink" Id="rId33" Target="https://doi.org/10.1016/j.tra.2022.06.007" TargetMode="External" /><Relationship Type="http://schemas.openxmlformats.org/officeDocument/2006/relationships/hyperlink" Id="rId39" Target="https://doi.org/10.1038/s44284-025-00383-y" TargetMode="External" /><Relationship Type="http://schemas.openxmlformats.org/officeDocument/2006/relationships/hyperlink" Id="rId42" Target="https://doi.org/10.1080/01944363.2020.1864758" TargetMode="External" /><Relationship Type="http://schemas.openxmlformats.org/officeDocument/2006/relationships/hyperlink" Id="rId41" Target="https://doi.org/10.1371/journal.pone.0257534" TargetMode="External" /><Relationship Type="http://schemas.openxmlformats.org/officeDocument/2006/relationships/hyperlink" Id="rId45" Target="tutorial_2_accessibility.html" TargetMode="External" /><Relationship Type="http://schemas.openxmlformats.org/officeDocument/2006/relationships/hyperlink" Id="rId46" Target="tutorial_3_flow.html" TargetMode="External" /><Relationship Type="http://schemas.openxmlformats.org/officeDocument/2006/relationships/hyperlink" Id="rId47" Target="tutorial_4_design_imp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2026-08-03T15:58:38Z</dcterms:created>
  <dcterms:modified xsi:type="dcterms:W3CDTF">2026-08-03T15:58:38Z</dcterms:modified>
</cp:coreProperties>
</file>

<file path=docProps/custom.xml><?xml version="1.0" encoding="utf-8"?>
<Properties xmlns="http://schemas.openxmlformats.org/officeDocument/2006/custom-properties" xmlns:vt="http://schemas.openxmlformats.org/officeDocument/2006/docPropsVTypes"/>
</file>