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6.png" ContentType="image/png"/>
  <Override PartName="/word/media/" ContentType="application/octet-stream"/>
  <Override PartName="/word/media/image6.png" ContentType="image/png"/>
  <Override PartName="/word/media/image9.png" ContentType="image/png"/>
  <Override PartName="/word/media/image5.png" ContentType="image/png"/>
  <Override PartName="/word/media/image8.png" ContentType="image/png"/>
  <Override PartName="/word/media/image2.png" ContentType="image/png"/>
  <Override PartName="/word/media/image7.png" ContentType="image/png"/>
  <Override PartName="/word/media/image3.png" ContentType="image/png"/>
  <Override PartName="/word/media/image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74de9bc4552237a3726d72cffd2c2e0d2162ec4"/>
    <w:p>
      <w:pPr>
        <w:pStyle w:val="Heading1"/>
      </w:pPr>
      <w:bookmarkStart w:id="20" w:name="X74de9bc4552237a3726d72cffd2c2e0d2162ec4"/>
      <w:r>
        <w:t xml:space="preserve">Tutorial 2 — Accessibility step-by-step (Boston)</w:t>
      </w:r>
      <w:bookmarkEnd w:id="20"/>
    </w:p>
    <w:p>
      <w:pPr>
        <w:pStyle w:val="FirstParagraph"/>
      </w:pPr>
      <w:r>
        <w:t xml:space="preserve">This tutorial builds an accessibility analysis on the Boston inner-core</w:t>
      </w:r>
      <w:r>
        <w:t xml:space="preserve"> </w:t>
      </w:r>
      <w:r>
        <w:t xml:space="preserve">data in nine progressive steps. Each step changes one or two settings</w:t>
      </w:r>
      <w:r>
        <w:t xml:space="preserve"> </w:t>
      </w:r>
      <w:r>
        <w:t xml:space="preserve">and shows what happens to the result. Open</w:t>
      </w:r>
      <w:r>
        <w:t xml:space="preserve"> </w:t>
      </w:r>
      <w:r>
        <w:rPr>
          <w:rStyle w:val="VerbatimChar"/>
        </w:rPr>
        <w:t xml:space="preserve">UNA_Workspace.py</w:t>
      </w:r>
      <w:r>
        <w:t xml:space="preserve"> </w:t>
      </w:r>
      <w:r>
        <w:t xml:space="preserve">in VS</w:t>
      </w:r>
      <w:r>
        <w:t xml:space="preserve"> </w:t>
      </w:r>
      <w:r>
        <w:t xml:space="preserve">Code with the</w:t>
      </w:r>
      <w:r>
        <w:t xml:space="preserve"> </w:t>
      </w:r>
      <w:r>
        <w:rPr>
          <w:rStyle w:val="VerbatimChar"/>
        </w:rPr>
        <w:t xml:space="preserve">una</w:t>
      </w:r>
      <w:r>
        <w:t xml:space="preserve"> </w:t>
      </w:r>
      <w:r>
        <w:t xml:space="preserve">conda environment active; modify the script in</w:t>
      </w:r>
      <w:r>
        <w:t xml:space="preserve"> </w:t>
      </w:r>
      <w:r>
        <w:t xml:space="preserve">place and rerun</w:t>
      </w:r>
      <w:r>
        <w:t xml:space="preserve"> </w:t>
      </w:r>
      <w:r>
        <w:rPr>
          <w:rStyle w:val="VerbatimChar"/>
        </w:rPr>
        <w:t xml:space="preserve">python UNA_Workspace.py</w:t>
      </w:r>
      <w:r>
        <w:t xml:space="preserve"> </w:t>
      </w:r>
      <w:r>
        <w:t xml:space="preserve">after each variation.</w:t>
      </w:r>
    </w:p>
    <w:p>
      <w:pPr>
        <w:pStyle w:val="BodyText"/>
      </w:pPr>
      <w:r>
        <w:t xml:space="preserve">The data files live in</w:t>
      </w:r>
      <w:r>
        <w:t xml:space="preserve"> </w:t>
      </w:r>
      <w:r>
        <w:rPr>
          <w:rStyle w:val="VerbatimChar"/>
        </w:rPr>
        <w:t xml:space="preserve">una-2.5.5/Boston/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</w:rPr>
        <w:t xml:space="preserve">Network (steps a–f, h):</w:t>
      </w:r>
      <w:r>
        <w:t xml:space="preserve"> </w:t>
      </w:r>
      <w:r>
        <w:rPr>
          <w:rStyle w:val="VerbatimChar"/>
        </w:rPr>
        <w:t xml:space="preserve">20260703_PercLenNetwork_InnerCore.geojson</w:t>
      </w:r>
      <w:r>
        <w:t xml:space="preserve"> </w:t>
      </w:r>
      <w:r>
        <w:t xml:space="preserve">— 69,957 pedestrian-network edges covering the Boston inner core</w:t>
      </w:r>
      <w:r>
        <w:t xml:space="preserve"> </w:t>
      </w:r>
      <w:r>
        <w:t xml:space="preserve">(Cambridge + Boston core), 2D.</w:t>
      </w:r>
    </w:p>
    <w:p>
      <w:pPr>
        <w:numPr>
          <w:ilvl w:val="0"/>
          <w:numId w:val="1001"/>
        </w:numPr>
      </w:pPr>
      <w:r>
        <w:rPr>
          <w:b/>
        </w:rPr>
        <w:t xml:space="preserve">Network (step g, elevation):</w:t>
      </w:r>
      <w:r>
        <w:t xml:space="preserve"> </w:t>
      </w:r>
      <w:r>
        <w:rPr>
          <w:rStyle w:val="VerbatimChar"/>
        </w:rPr>
        <w:t xml:space="preserve">20260703_PercLenNetwork_InnerCore_3D.geojson</w:t>
      </w:r>
      <w:r>
        <w:t xml:space="preserve"> </w:t>
      </w:r>
      <w:r>
        <w:t xml:space="preserve">— the same network</w:t>
      </w:r>
      <w:r>
        <w:t xml:space="preserve"> </w:t>
      </w:r>
      <w:r>
        <w:t xml:space="preserve">with elevation sampled at every vertex (x, y, z).</w:t>
      </w:r>
    </w:p>
    <w:p>
      <w:pPr>
        <w:numPr>
          <w:ilvl w:val="0"/>
          <w:numId w:val="1001"/>
        </w:numPr>
      </w:pPr>
      <w:r>
        <w:rPr>
          <w:b/>
        </w:rPr>
        <w:t xml:space="preserve">Origins (steps a–e):</w:t>
      </w:r>
      <w:r>
        <w:t xml:space="preserve"> </w:t>
      </w:r>
      <w:r>
        <w:rPr>
          <w:rStyle w:val="VerbatimChar"/>
        </w:rPr>
        <w:t xml:space="preserve">MIT_SAP_Harvard_GSD.geojson</w:t>
      </w:r>
      <w:r>
        <w:t xml:space="preserve"> </w:t>
      </w:r>
      <w:r>
        <w:t xml:space="preserve">— two</w:t>
      </w:r>
      <w:r>
        <w:t xml:space="preserve"> </w:t>
      </w:r>
      <w:r>
        <w:t xml:space="preserve">points: the MIT School of Architecture + Planning and the Harvard</w:t>
      </w:r>
      <w:r>
        <w:t xml:space="preserve"> </w:t>
      </w:r>
      <w:r>
        <w:t xml:space="preserve">Graduate School of Design.</w:t>
      </w:r>
    </w:p>
    <w:p>
      <w:pPr>
        <w:numPr>
          <w:ilvl w:val="0"/>
          <w:numId w:val="1001"/>
        </w:numPr>
      </w:pPr>
      <w:r>
        <w:rPr>
          <w:b/>
        </w:rPr>
        <w:t xml:space="preserve">Destinations:</w:t>
      </w:r>
      <w:r>
        <w:t xml:space="preserve"> </w:t>
      </w:r>
      <w:r>
        <w:rPr>
          <w:rStyle w:val="VerbatimChar"/>
        </w:rPr>
        <w:t xml:space="preserve">MA_transit_stations.geojson</w:t>
      </w:r>
      <w:r>
        <w:t xml:space="preserve"> </w:t>
      </w:r>
      <w:r>
        <w:t xml:space="preserve">— 6,919 transit</w:t>
      </w:r>
      <w:r>
        <w:t xml:space="preserve"> </w:t>
      </w:r>
      <w:r>
        <w:t xml:space="preserve">stops across the MBTA region, with a</w:t>
      </w:r>
      <w:r>
        <w:t xml:space="preserve"> </w:t>
      </w:r>
      <w:r>
        <w:rPr>
          <w:rStyle w:val="VerbatimChar"/>
        </w:rPr>
        <w:t xml:space="preserve">weekly_departures</w:t>
      </w:r>
      <w:r>
        <w:t xml:space="preserve"> </w:t>
      </w:r>
      <w:r>
        <w:t xml:space="preserve">attribute.</w:t>
      </w:r>
    </w:p>
    <w:p>
      <w:pPr>
        <w:numPr>
          <w:ilvl w:val="0"/>
          <w:numId w:val="1001"/>
        </w:numPr>
      </w:pPr>
      <w:r>
        <w:rPr>
          <w:b/>
        </w:rPr>
        <w:t xml:space="preserve">Origins (steps f–h):</w:t>
      </w:r>
      <w:r>
        <w:t xml:space="preserve"> </w:t>
      </w:r>
      <w:r>
        <w:rPr>
          <w:rStyle w:val="VerbatimChar"/>
        </w:rPr>
        <w:t xml:space="preserve">Cambridge_building_centroids.geojson</w:t>
      </w:r>
      <w:r>
        <w:t xml:space="preserve"> </w:t>
      </w:r>
      <w:r>
        <w:t xml:space="preserve">—</w:t>
      </w:r>
      <w:r>
        <w:t xml:space="preserve"> </w:t>
      </w:r>
      <w:r>
        <w:t xml:space="preserve">14,751 building centroids across Cambridge.</w:t>
      </w:r>
    </w:p>
    <w:p>
      <w:pPr>
        <w:pStyle w:val="FirstParagraph"/>
      </w:pPr>
      <w:r>
        <w:t xml:space="preserve">Each step below shows only the settings that change relative to the</w:t>
      </w:r>
      <w:r>
        <w:t xml:space="preserve"> </w:t>
      </w:r>
      <w:r>
        <w:t xml:space="preserve">previous step.</w:t>
      </w:r>
    </w:p>
    <w:p>
      <w:pPr>
        <w:numPr>
          <w:ilvl w:val="0"/>
          <w:numId w:val="1002"/>
        </w:numPr>
      </w:pPr>
      <w:hyperlink w:anchor="Xfbd9f38cd67c53d2e05a014b655246d4e6b85d8">
        <w:r>
          <w:rPr>
            <w:rStyle w:val="Hyperlink"/>
          </w:rPr>
          <w:t xml:space="preserve">(a) Reach to transit stops — two origins, radius 400 m</w:t>
        </w:r>
      </w:hyperlink>
    </w:p>
    <w:p>
      <w:pPr>
        <w:numPr>
          <w:ilvl w:val="0"/>
          <w:numId w:val="1002"/>
        </w:numPr>
      </w:pPr>
      <w:hyperlink w:anchor="X3aa688d8d77ee0385a77b9483c3211e0f26b23e">
        <w:r>
          <w:rPr>
            <w:rStyle w:val="Hyperlink"/>
          </w:rPr>
          <w:t xml:space="preserve">(b) Add destination weights (weekly_departures)</w:t>
        </w:r>
      </w:hyperlink>
    </w:p>
    <w:p>
      <w:pPr>
        <w:numPr>
          <w:ilvl w:val="0"/>
          <w:numId w:val="1002"/>
        </w:numPr>
      </w:pPr>
      <w:hyperlink w:anchor="c-add-gravity-exponential-0-001">
        <w:r>
          <w:rPr>
            <w:rStyle w:val="Hyperlink"/>
          </w:rPr>
          <w:t xml:space="preserve">(c) Add Gravity (exponential), β = 0.001</w:t>
        </w:r>
      </w:hyperlink>
    </w:p>
    <w:p>
      <w:pPr>
        <w:numPr>
          <w:ilvl w:val="0"/>
          <w:numId w:val="1002"/>
        </w:numPr>
      </w:pPr>
      <w:hyperlink w:anchor="d-add-gravity-logistic-midpoint-500-m">
        <w:r>
          <w:rPr>
            <w:rStyle w:val="Hyperlink"/>
          </w:rPr>
          <w:t xml:space="preserve">(d) Add Gravity (logistic), midpoint = 500 m</w:t>
        </w:r>
      </w:hyperlink>
    </w:p>
    <w:p>
      <w:pPr>
        <w:numPr>
          <w:ilvl w:val="0"/>
          <w:numId w:val="1002"/>
        </w:numPr>
      </w:pPr>
      <w:hyperlink w:anchor="e-add-knn-access-knn-weights-1-0">
        <w:r>
          <w:rPr>
            <w:rStyle w:val="Hyperlink"/>
          </w:rPr>
          <w:t xml:space="preserve">(e) Add KNN access — knn_weights = (1.0,)</w:t>
        </w:r>
      </w:hyperlink>
    </w:p>
    <w:p>
      <w:pPr>
        <w:numPr>
          <w:ilvl w:val="0"/>
          <w:numId w:val="1002"/>
        </w:numPr>
      </w:pPr>
      <w:hyperlink w:anchor="X0a765b5934129ba93ab29fd166d02217068a2b2">
        <w:r>
          <w:rPr>
            <w:rStyle w:val="Hyperlink"/>
          </w:rPr>
          <w:t xml:space="preserve">(f) Scale up — all 14,751 Cambridge building centroids</w:t>
        </w:r>
      </w:hyperlink>
    </w:p>
    <w:p>
      <w:pPr>
        <w:numPr>
          <w:ilvl w:val="0"/>
          <w:numId w:val="1002"/>
        </w:numPr>
      </w:pPr>
      <w:hyperlink w:anchor="g-enable-elevation-penalty-4">
        <w:r>
          <w:rPr>
            <w:rStyle w:val="Hyperlink"/>
          </w:rPr>
          <w:t xml:space="preserve">(g) Enable elevation, penalty = 4</w:t>
        </w:r>
      </w:hyperlink>
    </w:p>
    <w:p>
      <w:pPr>
        <w:numPr>
          <w:ilvl w:val="0"/>
          <w:numId w:val="1002"/>
        </w:numPr>
      </w:pPr>
      <w:hyperlink w:anchor="h-enable-turns-threshold-45-penalty-35">
        <w:r>
          <w:rPr>
            <w:rStyle w:val="Hyperlink"/>
          </w:rPr>
          <w:t xml:space="preserve">(h) Enable turns, threshold = 45°, penalty = 35</w:t>
        </w:r>
      </w:hyperlink>
    </w:p>
    <w:p>
      <w:pPr>
        <w:numPr>
          <w:ilvl w:val="0"/>
          <w:numId w:val="1002"/>
        </w:numPr>
      </w:pPr>
      <w:hyperlink w:anchor="Xe1ba43a9c2442e4fd1e446f3568402c5f642032">
        <w:r>
          <w:rPr>
            <w:rStyle w:val="Hyperlink"/>
          </w:rPr>
          <w:t xml:space="preserve">(i) WalkScore-style composite with UNA_Batch.py</w:t>
        </w:r>
      </w:hyperlink>
    </w:p>
    <w:p>
      <w:pPr>
        <w:numPr>
          <w:ilvl w:val="0"/>
          <w:numId w:val="1002"/>
        </w:numPr>
      </w:pPr>
      <w:hyperlink w:anchor="what-we-covered">
        <w:r>
          <w:rPr>
            <w:rStyle w:val="Hyperlink"/>
          </w:rPr>
          <w:t xml:space="preserve">What we covered</w:t>
        </w:r>
      </w:hyperlink>
    </w:p>
    <w:bookmarkStart w:id="23" w:name="Xfbd9f38cd67c53d2e05a014b655246d4e6b85d8"/>
    <w:p>
      <w:pPr>
        <w:pStyle w:val="Heading2"/>
      </w:pPr>
      <w:bookmarkStart w:id="21" w:name="Xfbd9f38cd67c53d2e05a014b655246d4e6b85d8"/>
      <w:hyperlink w:anchor="id3">
        <w:r>
          <w:rPr>
            <w:rStyle w:val="Hyperlink"/>
          </w:rPr>
          <w:t xml:space="preserve">(a) Reach to transit stops — two origins, radius 400 m</w:t>
        </w:r>
      </w:hyperlink>
      <w:bookmarkEnd w:id="21"/>
    </w:p>
    <w:p>
      <w:pPr>
        <w:pStyle w:val="FirstParagraph"/>
      </w:pPr>
      <w:r>
        <w:t xml:space="preserve">The simplest possible accessibility analysis: count transit stops</w:t>
      </w:r>
      <w:r>
        <w:t xml:space="preserve"> </w:t>
      </w:r>
      <w:r>
        <w:t xml:space="preserve">reachable within a 400 m network walk, with no destination weighting.</w:t>
      </w:r>
    </w:p>
    <w:p>
      <w:pPr>
        <w:pStyle w:val="SourceCode"/>
      </w:pPr>
      <w:r>
        <w:rPr>
          <w:rStyle w:val="VerbatimChar"/>
        </w:rPr>
        <w:t xml:space="preserve">from source import UNA</w:t>
      </w:r>
      <w:r>
        <w:br/>
      </w:r>
      <w:r>
        <w:rPr>
          <w:rStyle w:val="VerbatimChar"/>
        </w:rPr>
        <w:t xml:space="preserve">una = UNA()</w:t>
      </w:r>
      <w:r>
        <w:br/>
      </w:r>
      <w:r>
        <w:br/>
      </w:r>
      <w:r>
        <w:rPr>
          <w:rStyle w:val="VerbatimChar"/>
        </w:rPr>
        <w:t xml:space="preserve">una.settings.data_folder       = r"Boston"</w:t>
      </w:r>
      <w:r>
        <w:br/>
      </w:r>
      <w:r>
        <w:rPr>
          <w:rStyle w:val="VerbatimChar"/>
        </w:rPr>
        <w:t xml:space="preserve">una.settings.network_file      = "20260703_PercLenNetwork_InnerCore.geojson"</w:t>
      </w:r>
      <w:r>
        <w:br/>
      </w:r>
      <w:r>
        <w:rPr>
          <w:rStyle w:val="VerbatimChar"/>
        </w:rPr>
        <w:t xml:space="preserve">una.settings.origins_file      = "MIT_SAP_Harvard_GSD.geojson"</w:t>
      </w:r>
      <w:r>
        <w:br/>
      </w:r>
      <w:r>
        <w:rPr>
          <w:rStyle w:val="VerbatimChar"/>
        </w:rPr>
        <w:t xml:space="preserve">una.settings.destinations_file = "MA_transit_stations.geojson"</w:t>
      </w:r>
      <w:r>
        <w:br/>
      </w:r>
      <w:r>
        <w:rPr>
          <w:rStyle w:val="VerbatimChar"/>
        </w:rPr>
        <w:t xml:space="preserve">una.settings.search_radius     = 400</w:t>
      </w:r>
      <w:r>
        <w:br/>
      </w:r>
      <w:r>
        <w:br/>
      </w:r>
      <w:r>
        <w:rPr>
          <w:rStyle w:val="VerbatimChar"/>
        </w:rPr>
        <w:t xml:space="preserve">una.settings.calculate_reach               = True</w:t>
      </w:r>
      <w:r>
        <w:br/>
      </w:r>
      <w:r>
        <w:rPr>
          <w:rStyle w:val="VerbatimChar"/>
        </w:rPr>
        <w:t xml:space="preserve">una.settings.calculate_exponential_gravity = False</w:t>
      </w:r>
      <w:r>
        <w:br/>
      </w:r>
      <w:r>
        <w:rPr>
          <w:rStyle w:val="VerbatimChar"/>
        </w:rPr>
        <w:t xml:space="preserve">una.settings.calculate_logistic_gravity    = False</w:t>
      </w:r>
      <w:r>
        <w:br/>
      </w:r>
      <w:r>
        <w:rPr>
          <w:rStyle w:val="VerbatimChar"/>
        </w:rPr>
        <w:t xml:space="preserve">una.settings.calculate_knn_access          = False</w:t>
      </w:r>
      <w:r>
        <w:br/>
      </w:r>
      <w:r>
        <w:br/>
      </w:r>
      <w:r>
        <w:rPr>
          <w:rStyle w:val="VerbatimChar"/>
        </w:rPr>
        <w:t xml:space="preserve">una.settings.origin_weight_column      = "Count"</w:t>
      </w:r>
      <w:r>
        <w:br/>
      </w:r>
      <w:r>
        <w:rPr>
          <w:rStyle w:val="VerbatimChar"/>
        </w:rPr>
        <w:t xml:space="preserve">una.settings.destination_weight_column = "Count"</w:t>
      </w:r>
      <w:r>
        <w:br/>
      </w:r>
      <w:r>
        <w:br/>
      </w:r>
      <w:r>
        <w:rPr>
          <w:rStyle w:val="VerbatimChar"/>
        </w:rPr>
        <w:t xml:space="preserve">una.RunAccessibility()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Reach</w:t>
            </w:r>
          </w:p>
        </w:tc>
      </w:tr>
      <w:tr>
        <w:tc>
          <w:p>
            <w:pPr>
              <w:jc w:val="left"/>
            </w:pPr>
            <w:r>
              <w:t xml:space="preserve">MIT_SAP</w:t>
            </w:r>
          </w:p>
        </w:tc>
        <w:tc>
          <w:p>
            <w:pPr>
              <w:jc w:val="left"/>
            </w:pPr>
            <w:r>
              <w:t xml:space="preserve">7.00</w:t>
            </w:r>
          </w:p>
        </w:tc>
      </w:tr>
      <w:tr>
        <w:tc>
          <w:p>
            <w:pPr>
              <w:jc w:val="left"/>
            </w:pPr>
            <w:r>
              <w:t xml:space="preserve">Harvard_GSD</w:t>
            </w:r>
          </w:p>
        </w:tc>
        <w:tc>
          <w:p>
            <w:pPr>
              <w:jc w:val="left"/>
            </w:pPr>
            <w:r>
              <w:t xml:space="preserve">9.00</w:t>
            </w:r>
          </w:p>
        </w:tc>
      </w:tr>
    </w:tbl>
    <w:p>
      <w:pPr>
        <w:pStyle w:val="Figure"/>
      </w:pPr>
      <w:r>
        <w:drawing>
          <wp:inline>
            <wp:extent cx="6400800" cy="513451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2_imag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13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Within a 400 m walk, MIT_SAP reaches 7 transit stops and Harvard_GSD</w:t>
      </w:r>
      <w:r>
        <w:t xml:space="preserve"> </w:t>
      </w:r>
      <w:r>
        <w:t xml:space="preserve">reaches 9 — raw counts, every stop contributing 1.</w:t>
      </w:r>
    </w:p>
    <w:bookmarkEnd w:id="23"/>
    <w:bookmarkStart w:id="26" w:name="X3aa688d8d77ee0385a77b9483c3211e0f26b23e"/>
    <w:p>
      <w:pPr>
        <w:pStyle w:val="Heading2"/>
      </w:pPr>
      <w:bookmarkStart w:id="24" w:name="X260a3f98d9db86ca8cf5a672f3d1a95b8a83a35"/>
      <w:hyperlink w:anchor="id4">
        <w:r>
          <w:rPr>
            <w:rStyle w:val="Hyperlink"/>
          </w:rPr>
          <w:t xml:space="preserve">(b) Add destination weights (weekly_departures)</w:t>
        </w:r>
      </w:hyperlink>
      <w:bookmarkEnd w:id="24"/>
    </w:p>
    <w:p>
      <w:pPr>
        <w:pStyle w:val="FirstParagraph"/>
      </w:pPr>
      <w:r>
        <w:t xml:space="preserve">Weight each stop by its weekly departures — a proxy for service</w:t>
      </w:r>
      <w:r>
        <w:t xml:space="preserve"> </w:t>
      </w:r>
      <w:r>
        <w:t xml:space="preserve">frequency. Reach becomes a weighted sum rather than a raw count.</w:t>
      </w:r>
    </w:p>
    <w:p>
      <w:pPr>
        <w:pStyle w:val="SourceCode"/>
      </w:pPr>
      <w:r>
        <w:rPr>
          <w:rStyle w:val="VerbatimChar"/>
        </w:rPr>
        <w:t xml:space="preserve">una.settings.destination_weight_column = "weekly_departures"</w:t>
      </w:r>
    </w:p>
    <w:tbl>
      <w:tblPr>
        <w:tblStyle w:val="Table"/>
        <w:tblW w:type="pct" w:w="5000.0"/>
        <w:tblLook w:firstRow="1"/>
      </w:tblPr>
      <w:tblGrid>
        <w:gridCol w:w="4356"/>
        <w:gridCol w:w="35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Reach</w:t>
            </w:r>
          </w:p>
        </w:tc>
      </w:tr>
      <w:tr>
        <w:tc>
          <w:p>
            <w:pPr>
              <w:jc w:val="left"/>
            </w:pPr>
            <w:r>
              <w:t xml:space="preserve">MIT_SAP</w:t>
            </w:r>
          </w:p>
        </w:tc>
        <w:tc>
          <w:p>
            <w:pPr>
              <w:jc w:val="left"/>
            </w:pPr>
            <w:r>
              <w:t xml:space="preserve">3,456.00</w:t>
            </w:r>
          </w:p>
        </w:tc>
      </w:tr>
      <w:tr>
        <w:tc>
          <w:p>
            <w:pPr>
              <w:jc w:val="left"/>
            </w:pPr>
            <w:r>
              <w:t xml:space="preserve">Harvard_GSD</w:t>
            </w:r>
          </w:p>
        </w:tc>
        <w:tc>
          <w:p>
            <w:pPr>
              <w:jc w:val="left"/>
            </w:pPr>
            <w:r>
              <w:t xml:space="preserve">3,427.00</w:t>
            </w:r>
          </w:p>
        </w:tc>
      </w:tr>
    </w:tbl>
    <w:p>
      <w:pPr>
        <w:pStyle w:val="Figure"/>
      </w:pPr>
      <w:r>
        <w:drawing>
          <wp:inline>
            <wp:extent cx="5081391" cy="35114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2_image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391" cy="351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MIT_SAP’s fewer stops turn out to carry almost the same aggregate</w:t>
      </w:r>
      <w:r>
        <w:t xml:space="preserve"> </w:t>
      </w:r>
      <w:r>
        <w:t xml:space="preserve">service level as Harvard’s more numerous ones.</w:t>
      </w:r>
    </w:p>
    <w:bookmarkEnd w:id="26"/>
    <w:bookmarkStart w:id="30" w:name="c-add-gravity-exponential-0-001"/>
    <w:p>
      <w:pPr>
        <w:pStyle w:val="Heading2"/>
      </w:pPr>
      <w:bookmarkStart w:id="27" w:name="c-add-gravity-exponential-β-0.001"/>
      <w:hyperlink w:anchor="id5">
        <w:r>
          <w:rPr>
            <w:rStyle w:val="Hyperlink"/>
          </w:rPr>
          <w:t xml:space="preserve">(c) Add Gravity (exponential), β = 0.001</w:t>
        </w:r>
      </w:hyperlink>
      <w:bookmarkEnd w:id="27"/>
    </w:p>
    <w:p>
      <w:pPr>
        <w:pStyle w:val="FirstParagraph"/>
      </w:pPr>
      <w:r>
        <w:t xml:space="preserve">Gravity additionally penalizes distance — each destination contributes</w:t>
      </w:r>
      <w:r>
        <w:t xml:space="preserve"> </w:t>
      </w:r>
      <w:r>
        <w:rPr>
          <w:rStyle w:val="VerbatimChar"/>
        </w:rPr>
        <w:t xml:space="preserve">weight × exp(−β·d)</w:t>
      </w:r>
      <w:r>
        <w:t xml:space="preserve">. See</w:t>
      </w:r>
      <w:r>
        <w:t xml:space="preserve"> </w:t>
      </w:r>
      <w:hyperlink r:id="rId28">
        <w:r>
          <w:rPr>
            <w:rStyle w:val="Hyperlink"/>
          </w:rPr>
          <w:t xml:space="preserve">Gravity and decay models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una.settings.calculate_exponential_gravity = True</w:t>
      </w:r>
      <w:r>
        <w:br/>
      </w:r>
      <w:r>
        <w:rPr>
          <w:rStyle w:val="VerbatimChar"/>
        </w:rPr>
        <w:t xml:space="preserve">una.settings.gravity_beta = 0.001</w:t>
      </w:r>
    </w:p>
    <w:tbl>
      <w:tblPr>
        <w:tblStyle w:val="Table"/>
        <w:tblW w:type="pct" w:w="5000.0"/>
        <w:tblLook w:firstRow="1"/>
      </w:tblPr>
      <w:tblGrid>
        <w:gridCol w:w="3168"/>
        <w:gridCol w:w="2376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Gravity (exp)</w:t>
            </w:r>
          </w:p>
        </w:tc>
      </w:tr>
      <w:tr>
        <w:tc>
          <w:p>
            <w:pPr>
              <w:jc w:val="left"/>
            </w:pPr>
            <w:r>
              <w:t xml:space="preserve">MIT_SAP</w:t>
            </w:r>
          </w:p>
        </w:tc>
        <w:tc>
          <w:p>
            <w:pPr>
              <w:jc w:val="left"/>
            </w:pPr>
            <w:r>
              <w:t xml:space="preserve">3,456.00</w:t>
            </w:r>
          </w:p>
        </w:tc>
        <w:tc>
          <w:p>
            <w:pPr>
              <w:jc w:val="left"/>
            </w:pPr>
            <w:r>
              <w:t xml:space="preserve">2,969.86</w:t>
            </w:r>
          </w:p>
        </w:tc>
      </w:tr>
      <w:tr>
        <w:tc>
          <w:p>
            <w:pPr>
              <w:jc w:val="left"/>
            </w:pPr>
            <w:r>
              <w:t xml:space="preserve">Harvard_GSD</w:t>
            </w:r>
          </w:p>
        </w:tc>
        <w:tc>
          <w:p>
            <w:pPr>
              <w:jc w:val="left"/>
            </w:pPr>
            <w:r>
              <w:t xml:space="preserve">3,427.00</w:t>
            </w:r>
          </w:p>
        </w:tc>
        <w:tc>
          <w:p>
            <w:pPr>
              <w:jc w:val="left"/>
            </w:pPr>
            <w:r>
              <w:t xml:space="preserve">2,762.70</w:t>
            </w:r>
          </w:p>
        </w:tc>
      </w:tr>
    </w:tbl>
    <w:p>
      <w:pPr>
        <w:pStyle w:val="Figure"/>
      </w:pPr>
      <w:r>
        <w:drawing>
          <wp:inline>
            <wp:extent cx="5123145" cy="35448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2_image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45" cy="354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Gravity is always ≤ Reach because</w:t>
      </w:r>
      <w:r>
        <w:t xml:space="preserve"> </w:t>
      </w:r>
      <w:r>
        <w:rPr>
          <w:rStyle w:val="VerbatimChar"/>
        </w:rPr>
        <w:t xml:space="preserve">exp(−β·d) &lt; 1</w:t>
      </w:r>
      <w:r>
        <w:t xml:space="preserve"> </w:t>
      </w:r>
      <w:r>
        <w:t xml:space="preserve">for any d &gt; 0.</w:t>
      </w:r>
      <w:r>
        <w:t xml:space="preserve"> </w:t>
      </w:r>
      <w:r>
        <w:t xml:space="preserve">With β = 0.001 the half-distance is</w:t>
      </w:r>
      <w:r>
        <w:t xml:space="preserve"> </w:t>
      </w:r>
      <w:r>
        <w:rPr>
          <w:rStyle w:val="VerbatimChar"/>
        </w:rPr>
        <w:t xml:space="preserve">ln(2)/β ≈ 693 m</w:t>
      </w:r>
      <w:r>
        <w:t xml:space="preserve">. Harvard’s</w:t>
      </w:r>
      <w:r>
        <w:t xml:space="preserve"> </w:t>
      </w:r>
      <w:r>
        <w:t xml:space="preserve">gravity falls off more because its stops are on average farther away.</w:t>
      </w:r>
    </w:p>
    <w:bookmarkEnd w:id="30"/>
    <w:bookmarkStart w:id="33" w:name="d-add-gravity-logistic-midpoint-500-m"/>
    <w:p>
      <w:pPr>
        <w:pStyle w:val="Heading2"/>
      </w:pPr>
      <w:bookmarkStart w:id="31" w:name="d-add-gravity-logistic-midpoint-500-m"/>
      <w:hyperlink w:anchor="id6">
        <w:r>
          <w:rPr>
            <w:rStyle w:val="Hyperlink"/>
          </w:rPr>
          <w:t xml:space="preserve">(d) Add Gravity (logistic), midpoint = 500 m</w:t>
        </w:r>
      </w:hyperlink>
      <w:bookmarkEnd w:id="31"/>
    </w:p>
    <w:p>
      <w:pPr>
        <w:pStyle w:val="FirstParagraph"/>
      </w:pPr>
      <w:r>
        <w:t xml:space="preserve">The logistic (S-shape) decay stays close to 1.0 below the midpoint and</w:t>
      </w:r>
      <w:r>
        <w:t xml:space="preserve"> </w:t>
      </w:r>
      <w:r>
        <w:t xml:space="preserve">falls off rapidly past it — often a better fit for walking behavior:</w:t>
      </w:r>
      <w:r>
        <w:t xml:space="preserve"> </w:t>
      </w:r>
      <w:r>
        <w:t xml:space="preserve">close is close, far is far, with a fairly sharp threshold in between.</w:t>
      </w:r>
    </w:p>
    <w:p>
      <w:pPr>
        <w:pStyle w:val="SourceCode"/>
      </w:pPr>
      <w:r>
        <w:rPr>
          <w:rStyle w:val="VerbatimChar"/>
        </w:rPr>
        <w:t xml:space="preserve">una.settings.calculate_logistic_gravity = True</w:t>
      </w:r>
      <w:r>
        <w:br/>
      </w:r>
      <w:r>
        <w:rPr>
          <w:rStyle w:val="VerbatimChar"/>
        </w:rPr>
        <w:t xml:space="preserve">una.settings.gravity_logistic_midpoint  = 500</w:t>
      </w:r>
    </w:p>
    <w:tbl>
      <w:tblPr>
        <w:tblStyle w:val="Table"/>
        <w:tblW w:type="pct" w:w="5000.0"/>
        <w:tblLook w:firstRow="1"/>
      </w:tblPr>
      <w:tblGrid>
        <w:gridCol w:w="3168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Gravity (exp)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Gravity (log)</w:t>
            </w:r>
          </w:p>
        </w:tc>
      </w:tr>
      <w:tr>
        <w:tc>
          <w:p>
            <w:pPr>
              <w:jc w:val="left"/>
            </w:pPr>
            <w:r>
              <w:t xml:space="preserve">MIT_SAP</w:t>
            </w:r>
          </w:p>
        </w:tc>
        <w:tc>
          <w:p>
            <w:pPr>
              <w:jc w:val="left"/>
            </w:pPr>
            <w:r>
              <w:t xml:space="preserve">3,456.00</w:t>
            </w:r>
          </w:p>
        </w:tc>
        <w:tc>
          <w:p>
            <w:pPr>
              <w:jc w:val="left"/>
            </w:pPr>
            <w:r>
              <w:t xml:space="preserve">2,969.86</w:t>
            </w:r>
          </w:p>
        </w:tc>
        <w:tc>
          <w:p>
            <w:pPr>
              <w:jc w:val="left"/>
            </w:pPr>
            <w:r>
              <w:t xml:space="preserve">3,279.87</w:t>
            </w:r>
          </w:p>
        </w:tc>
      </w:tr>
      <w:tr>
        <w:tc>
          <w:p>
            <w:pPr>
              <w:jc w:val="left"/>
            </w:pPr>
            <w:r>
              <w:t xml:space="preserve">Harvard_GSD</w:t>
            </w:r>
          </w:p>
        </w:tc>
        <w:tc>
          <w:p>
            <w:pPr>
              <w:jc w:val="left"/>
            </w:pPr>
            <w:r>
              <w:t xml:space="preserve">3,427.00</w:t>
            </w:r>
          </w:p>
        </w:tc>
        <w:tc>
          <w:p>
            <w:pPr>
              <w:jc w:val="left"/>
            </w:pPr>
            <w:r>
              <w:t xml:space="preserve">2,762.70</w:t>
            </w:r>
          </w:p>
        </w:tc>
        <w:tc>
          <w:p>
            <w:pPr>
              <w:jc w:val="left"/>
            </w:pPr>
            <w:r>
              <w:t xml:space="preserve">3,105.15</w:t>
            </w:r>
          </w:p>
        </w:tc>
      </w:tr>
    </w:tbl>
    <w:p>
      <w:pPr>
        <w:pStyle w:val="Figure"/>
      </w:pPr>
      <w:r>
        <w:drawing>
          <wp:inline>
            <wp:extent cx="5081391" cy="35114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2_image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391" cy="351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logistic values sit between Reach and exponential gravity because</w:t>
      </w:r>
      <w:r>
        <w:t xml:space="preserve"> </w:t>
      </w:r>
      <w:r>
        <w:t xml:space="preserve">at 0–400 m the logistic curve is still near its plateau.</w:t>
      </w:r>
    </w:p>
    <w:bookmarkEnd w:id="33"/>
    <w:bookmarkStart w:id="36" w:name="e-add-knn-access-knn-weights-1-0"/>
    <w:p>
      <w:pPr>
        <w:pStyle w:val="Heading2"/>
      </w:pPr>
      <w:bookmarkStart w:id="34" w:name="e-add-knn-access-knn_weights-1.0"/>
      <w:hyperlink w:anchor="id7">
        <w:r>
          <w:rPr>
            <w:rStyle w:val="Hyperlink"/>
          </w:rPr>
          <w:t xml:space="preserve">(e) Add KNN access — knn_weights = (1.0,)</w:t>
        </w:r>
      </w:hyperlink>
      <w:bookmarkEnd w:id="34"/>
    </w:p>
    <w:p>
      <w:pPr>
        <w:pStyle w:val="FirstParagraph"/>
      </w:pPr>
      <w:r>
        <w:t xml:space="preserve">The K-Nearest-Neighbor index limits the analysis to only the K nearest</w:t>
      </w:r>
      <w:r>
        <w:t xml:space="preserve"> </w:t>
      </w:r>
      <w:r>
        <w:t xml:space="preserve">destinations. K is set by the</w:t>
      </w:r>
      <w:r>
        <w:t xml:space="preserve"> </w:t>
      </w:r>
      <w:r>
        <w:rPr>
          <w:i/>
        </w:rPr>
        <w:t xml:space="preserve">length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knn_weights</w:t>
      </w:r>
      <w:r>
        <w:t xml:space="preserve"> </w:t>
      </w:r>
      <w:r>
        <w:t xml:space="preserve">tuple,</w:t>
      </w:r>
      <w:r>
        <w:t xml:space="preserve"> </w:t>
      </w:r>
      <w:r>
        <w:t xml:space="preserve">each element’s value by its contribution weight.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Even for a single weight, the trailing comma is required:</w:t>
      </w:r>
      <w:r>
        <w:t xml:space="preserve"> </w:t>
      </w:r>
      <w:r>
        <w:rPr>
          <w:rStyle w:val="VerbatimChar"/>
        </w:rPr>
        <w:t xml:space="preserve">(1.0,)</w:t>
      </w:r>
      <w:r>
        <w:t xml:space="preserve"> </w:t>
      </w:r>
      <w:r>
        <w:t xml:space="preserve">is a one-element tuple, while</w:t>
      </w:r>
      <w:r>
        <w:t xml:space="preserve"> </w:t>
      </w:r>
      <w:r>
        <w:rPr>
          <w:rStyle w:val="VerbatimChar"/>
        </w:rPr>
        <w:t xml:space="preserve">(1.0)</w:t>
      </w:r>
      <w:r>
        <w:t xml:space="preserve"> </w:t>
      </w:r>
      <w:r>
        <w:t xml:space="preserve">is just a</w:t>
      </w:r>
      <w:r>
        <w:t xml:space="preserve"> </w:t>
      </w:r>
      <w:r>
        <w:t xml:space="preserve">parenthesized float and the setting will silently misbehave.</w:t>
      </w:r>
    </w:p>
    <w:p>
      <w:pPr>
        <w:pStyle w:val="SourceCode"/>
      </w:pPr>
      <w:r>
        <w:rPr>
          <w:rStyle w:val="VerbatimChar"/>
        </w:rPr>
        <w:t xml:space="preserve">una.settings.calculate_knn_access = True</w:t>
      </w:r>
      <w:r>
        <w:br/>
      </w:r>
      <w:r>
        <w:rPr>
          <w:rStyle w:val="VerbatimChar"/>
        </w:rPr>
        <w:t xml:space="preserve">una.settings.knn_decay   = "logistic"</w:t>
      </w:r>
      <w:r>
        <w:br/>
      </w:r>
      <w:r>
        <w:rPr>
          <w:rStyle w:val="VerbatimChar"/>
        </w:rPr>
        <w:t xml:space="preserve">una.settings.knn_weights = (1.0,)   # ← note the trailing comma</w:t>
      </w:r>
    </w:p>
    <w:tbl>
      <w:tblPr>
        <w:tblStyle w:val="Table"/>
        <w:tblW w:type="pct" w:w="5000.0"/>
        <w:tblLook w:firstRow="1"/>
      </w:tblPr>
      <w:tblGrid>
        <w:gridCol w:w="3168"/>
        <w:gridCol w:w="1188"/>
        <w:gridCol w:w="1188"/>
        <w:gridCol w:w="1188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Reach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Gravity (exp)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Gravity (log)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KNN</w:t>
            </w:r>
          </w:p>
        </w:tc>
      </w:tr>
      <w:tr>
        <w:tc>
          <w:p>
            <w:pPr>
              <w:jc w:val="left"/>
            </w:pPr>
            <w:r>
              <w:t xml:space="preserve">MIT_SAP</w:t>
            </w:r>
          </w:p>
        </w:tc>
        <w:tc>
          <w:p>
            <w:pPr>
              <w:jc w:val="left"/>
            </w:pPr>
            <w:r>
              <w:t xml:space="preserve">3,456.00</w:t>
            </w:r>
          </w:p>
        </w:tc>
        <w:tc>
          <w:p>
            <w:pPr>
              <w:jc w:val="left"/>
            </w:pPr>
            <w:r>
              <w:t xml:space="preserve">2,969.86</w:t>
            </w:r>
          </w:p>
        </w:tc>
        <w:tc>
          <w:p>
            <w:pPr>
              <w:jc w:val="left"/>
            </w:pPr>
            <w:r>
              <w:t xml:space="preserve">3,279.87</w:t>
            </w:r>
          </w:p>
        </w:tc>
        <w:tc>
          <w:p>
            <w:pPr>
              <w:jc w:val="left"/>
            </w:pPr>
            <w:r>
              <w:t xml:space="preserve">157.70</w:t>
            </w:r>
          </w:p>
        </w:tc>
      </w:tr>
      <w:tr>
        <w:tc>
          <w:p>
            <w:pPr>
              <w:jc w:val="left"/>
            </w:pPr>
            <w:r>
              <w:t xml:space="preserve">Harvard_GSD</w:t>
            </w:r>
          </w:p>
        </w:tc>
        <w:tc>
          <w:p>
            <w:pPr>
              <w:jc w:val="left"/>
            </w:pPr>
            <w:r>
              <w:t xml:space="preserve">3,427.00</w:t>
            </w:r>
          </w:p>
        </w:tc>
        <w:tc>
          <w:p>
            <w:pPr>
              <w:jc w:val="left"/>
            </w:pPr>
            <w:r>
              <w:t xml:space="preserve">2,762.70</w:t>
            </w:r>
          </w:p>
        </w:tc>
        <w:tc>
          <w:p>
            <w:pPr>
              <w:jc w:val="left"/>
            </w:pPr>
            <w:r>
              <w:t xml:space="preserve">3,105.15</w:t>
            </w:r>
          </w:p>
        </w:tc>
        <w:tc>
          <w:p>
            <w:pPr>
              <w:jc w:val="left"/>
            </w:pPr>
            <w:r>
              <w:t xml:space="preserve">617.80</w:t>
            </w:r>
          </w:p>
        </w:tc>
      </w:tr>
    </w:tbl>
    <w:p>
      <w:pPr>
        <w:pStyle w:val="Figure"/>
      </w:pPr>
      <w:r>
        <w:drawing>
          <wp:inline>
            <wp:extent cx="5123145" cy="35448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_images/t2_image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45" cy="354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KNN is dominated by the single nearest stop: Harvard’s nearest stop</w:t>
      </w:r>
      <w:r>
        <w:t xml:space="preserve"> </w:t>
      </w:r>
      <w:r>
        <w:t xml:space="preserve">has far higher weekly departures than MIT’s, so despite nearly</w:t>
      </w:r>
      <w:r>
        <w:t xml:space="preserve"> </w:t>
      </w:r>
      <w:r>
        <w:t xml:space="preserve">identical Reach and Gravity totals, the KNN scores diverge sharply.</w:t>
      </w:r>
    </w:p>
    <w:bookmarkEnd w:id="36"/>
    <w:bookmarkStart w:id="39" w:name="X0a765b5934129ba93ab29fd166d02217068a2b2"/>
    <w:p>
      <w:pPr>
        <w:pStyle w:val="Heading2"/>
      </w:pPr>
      <w:bookmarkStart w:id="37" w:name="X878758f9eaa93e6c38611ed7b09826573d57964"/>
      <w:hyperlink w:anchor="id8">
        <w:r>
          <w:rPr>
            <w:rStyle w:val="Hyperlink"/>
          </w:rPr>
          <w:t xml:space="preserve">(f) Scale up — all 14,751 Cambridge building centroids</w:t>
        </w:r>
      </w:hyperlink>
      <w:bookmarkEnd w:id="37"/>
    </w:p>
    <w:p>
      <w:pPr>
        <w:pStyle w:val="FirstParagraph"/>
      </w:pPr>
      <w:r>
        <w:t xml:space="preserve">Same settings as (e), but computed for every building in Cambridge.</w:t>
      </w:r>
    </w:p>
    <w:p>
      <w:pPr>
        <w:pStyle w:val="SourceCode"/>
      </w:pPr>
      <w:r>
        <w:rPr>
          <w:rStyle w:val="VerbatimChar"/>
        </w:rPr>
        <w:t xml:space="preserve">una.settings.origins_file = "Cambridge_building_centroids.geojson"</w:t>
      </w:r>
    </w:p>
    <w:tbl>
      <w:tblPr>
        <w:tblStyle w:val="Table"/>
        <w:tblW w:type="pct" w:w="5000.0"/>
        <w:tblLook w:firstRow="1"/>
      </w:tblPr>
      <w:tblGrid>
        <w:gridCol w:w="3168"/>
        <w:gridCol w:w="950"/>
        <w:gridCol w:w="950"/>
        <w:gridCol w:w="950"/>
        <w:gridCol w:w="950"/>
        <w:gridCol w:w="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n with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Max</w:t>
            </w:r>
          </w:p>
        </w:tc>
      </w:tr>
      <w:tr>
        <w:tc>
          <w:p>
            <w:pPr>
              <w:jc w:val="left"/>
            </w:pPr>
            <w:r>
              <w:t xml:space="preserve">Reach</w:t>
            </w:r>
          </w:p>
        </w:tc>
        <w:tc>
          <w:p>
            <w:pPr>
              <w:jc w:val="left"/>
            </w:pPr>
            <w:r>
              <w:t xml:space="preserve">13,135</w:t>
            </w:r>
          </w:p>
        </w:tc>
        <w:tc>
          <w:p>
            <w:pPr>
              <w:jc w:val="left"/>
            </w:pPr>
            <w:r>
              <w:t xml:space="preserve">3,197.96</w:t>
            </w:r>
          </w:p>
        </w:tc>
        <w:tc>
          <w:p>
            <w:pPr>
              <w:jc w:val="left"/>
            </w:pPr>
            <w:r>
              <w:t xml:space="preserve">2,490.00</w:t>
            </w:r>
          </w:p>
        </w:tc>
        <w:tc>
          <w:p>
            <w:pPr>
              <w:jc w:val="left"/>
            </w:pPr>
            <w:r>
              <w:t xml:space="preserve">5,986.00</w:t>
            </w:r>
          </w:p>
        </w:tc>
        <w:tc>
          <w:p>
            <w:pPr>
              <w:jc w:val="left"/>
            </w:pPr>
            <w:r>
              <w:t xml:space="preserve">20,027.00</w:t>
            </w:r>
          </w:p>
        </w:tc>
      </w:tr>
      <w:tr>
        <w:tc>
          <w:p>
            <w:pPr>
              <w:jc w:val="left"/>
            </w:pPr>
            <w:r>
              <w:t xml:space="preserve">Gravity (exp)</w:t>
            </w:r>
          </w:p>
        </w:tc>
        <w:tc>
          <w:p>
            <w:pPr>
              <w:jc w:val="left"/>
            </w:pPr>
            <w:r>
              <w:t xml:space="preserve">13,135</w:t>
            </w:r>
          </w:p>
        </w:tc>
        <w:tc>
          <w:p>
            <w:pPr>
              <w:jc w:val="left"/>
            </w:pPr>
            <w:r>
              <w:t xml:space="preserve">2,451.64</w:t>
            </w:r>
          </w:p>
        </w:tc>
        <w:tc>
          <w:p>
            <w:pPr>
              <w:jc w:val="left"/>
            </w:pPr>
            <w:r>
              <w:t xml:space="preserve">1,864.02</w:t>
            </w:r>
          </w:p>
        </w:tc>
        <w:tc>
          <w:p>
            <w:pPr>
              <w:jc w:val="left"/>
            </w:pPr>
            <w:r>
              <w:t xml:space="preserve">4,572.85</w:t>
            </w:r>
          </w:p>
        </w:tc>
        <w:tc>
          <w:p>
            <w:pPr>
              <w:jc w:val="left"/>
            </w:pPr>
            <w:r>
              <w:t xml:space="preserve">16,457.07</w:t>
            </w:r>
          </w:p>
        </w:tc>
      </w:tr>
      <w:tr>
        <w:tc>
          <w:p>
            <w:pPr>
              <w:jc w:val="left"/>
            </w:pPr>
            <w:r>
              <w:t xml:space="preserve">Gravity (log)</w:t>
            </w:r>
          </w:p>
        </w:tc>
        <w:tc>
          <w:p>
            <w:pPr>
              <w:jc w:val="left"/>
            </w:pPr>
            <w:r>
              <w:t xml:space="preserve">13,135</w:t>
            </w:r>
          </w:p>
        </w:tc>
        <w:tc>
          <w:p>
            <w:pPr>
              <w:jc w:val="left"/>
            </w:pPr>
            <w:r>
              <w:t xml:space="preserve">2,774.99</w:t>
            </w:r>
          </w:p>
        </w:tc>
        <w:tc>
          <w:p>
            <w:pPr>
              <w:jc w:val="left"/>
            </w:pPr>
            <w:r>
              <w:t xml:space="preserve">2,110.67</w:t>
            </w:r>
          </w:p>
        </w:tc>
        <w:tc>
          <w:p>
            <w:pPr>
              <w:jc w:val="left"/>
            </w:pPr>
            <w:r>
              <w:t xml:space="preserve">5,154.10</w:t>
            </w:r>
          </w:p>
        </w:tc>
        <w:tc>
          <w:p>
            <w:pPr>
              <w:jc w:val="left"/>
            </w:pPr>
            <w:r>
              <w:t xml:space="preserve">18,397.42</w:t>
            </w:r>
          </w:p>
        </w:tc>
      </w:tr>
      <w:tr>
        <w:tc>
          <w:p>
            <w:pPr>
              <w:jc w:val="left"/>
            </w:pPr>
            <w:r>
              <w:t xml:space="preserve">KNN access</w:t>
            </w:r>
          </w:p>
        </w:tc>
        <w:tc>
          <w:p>
            <w:pPr>
              <w:jc w:val="left"/>
            </w:pPr>
            <w:r>
              <w:t xml:space="preserve">13,135</w:t>
            </w:r>
          </w:p>
        </w:tc>
        <w:tc>
          <w:p>
            <w:pPr>
              <w:jc w:val="left"/>
            </w:pPr>
            <w:r>
              <w:t xml:space="preserve">515.74</w:t>
            </w:r>
          </w:p>
        </w:tc>
        <w:tc>
          <w:p>
            <w:pPr>
              <w:jc w:val="left"/>
            </w:pPr>
            <w:r>
              <w:t xml:space="preserve">356.19</w:t>
            </w:r>
          </w:p>
        </w:tc>
        <w:tc>
          <w:p>
            <w:pPr>
              <w:jc w:val="left"/>
            </w:pPr>
            <w:r>
              <w:t xml:space="preserve">876.46</w:t>
            </w:r>
          </w:p>
        </w:tc>
        <w:tc>
          <w:p>
            <w:pPr>
              <w:jc w:val="left"/>
            </w:pPr>
            <w:r>
              <w:t xml:space="preserve">7,959.39</w:t>
            </w:r>
          </w:p>
        </w:tc>
      </w:tr>
    </w:tbl>
    <w:p>
      <w:pPr>
        <w:pStyle w:val="CaptionedFigure"/>
      </w:pPr>
      <w:r>
        <w:drawing>
          <wp:inline>
            <wp:extent cx="5093917" cy="3523989"/>
            <wp:effectExtent b="0" l="0" r="0" t="0"/>
            <wp:docPr descr="Gravity (exponential) per building centroid, visualized in QGIS." title="" id="1" name="Picture"/>
            <a:graphic>
              <a:graphicData uri="http://schemas.openxmlformats.org/drawingml/2006/picture">
                <pic:pic>
                  <pic:nvPicPr>
                    <pic:cNvPr descr="../_images/t2_image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17" cy="352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Gravity (exponential) per building centroid, visualized in QGIS.</w:t>
      </w:r>
    </w:p>
    <w:p>
      <w:pPr>
        <w:pStyle w:val="BodyText"/>
      </w:pPr>
      <w:r>
        <w:t xml:space="preserve">About 89 % of buildings have at least one stop within a 400 m walk.</w:t>
      </w:r>
      <w:r>
        <w:t xml:space="preserve"> </w:t>
      </w:r>
      <w:r>
        <w:t xml:space="preserve">The maxima belong to buildings near Harvard Square, Central Square, and</w:t>
      </w:r>
      <w:r>
        <w:t xml:space="preserve"> </w:t>
      </w:r>
      <w:r>
        <w:t xml:space="preserve">Kendall Square where multiple bus and rail lines converge.</w:t>
      </w:r>
    </w:p>
    <w:bookmarkEnd w:id="39"/>
    <w:bookmarkStart w:id="41" w:name="g-enable-elevation-penalty-4"/>
    <w:p>
      <w:pPr>
        <w:pStyle w:val="Heading2"/>
      </w:pPr>
      <w:bookmarkStart w:id="40" w:name="g-enable-elevation-penalty-4"/>
      <w:hyperlink w:anchor="id9">
        <w:r>
          <w:rPr>
            <w:rStyle w:val="Hyperlink"/>
          </w:rPr>
          <w:t xml:space="preserve">(g) Enable elevation, penalty = 4</w:t>
        </w:r>
      </w:hyperlink>
      <w:bookmarkEnd w:id="40"/>
    </w:p>
    <w:p>
      <w:pPr>
        <w:pStyle w:val="FirstParagraph"/>
      </w:pPr>
      <w:r>
        <w:t xml:space="preserve">Uphill walking accrues 4 extra cost-units per meter of rise. Swap in</w:t>
      </w:r>
      <w:r>
        <w:t xml:space="preserve"> </w:t>
      </w:r>
      <w:r>
        <w:t xml:space="preserve">the 3D network (same 69,957 segments with SRTM 30 m z-values; elevation</w:t>
      </w:r>
      <w:r>
        <w:t xml:space="preserve"> </w:t>
      </w:r>
      <w:r>
        <w:t xml:space="preserve">range −13 to 194 m):</w:t>
      </w:r>
    </w:p>
    <w:p>
      <w:pPr>
        <w:pStyle w:val="SourceCode"/>
      </w:pPr>
      <w:r>
        <w:rPr>
          <w:rStyle w:val="VerbatimChar"/>
        </w:rPr>
        <w:t xml:space="preserve">una.settings.network_file = "20260703_PercLenNetwork_InnerCore_3D.geojson"</w:t>
      </w:r>
      <w:r>
        <w:br/>
      </w:r>
      <w:r>
        <w:rPr>
          <w:rStyle w:val="VerbatimChar"/>
        </w:rPr>
        <w:t xml:space="preserve">una.settings.elevation         = True</w:t>
      </w:r>
      <w:r>
        <w:br/>
      </w:r>
      <w:r>
        <w:rPr>
          <w:rStyle w:val="VerbatimChar"/>
        </w:rPr>
        <w:t xml:space="preserve">una.settings.elevation_penalty = 4</w:t>
      </w:r>
    </w:p>
    <w:tbl>
      <w:tblPr>
        <w:tblStyle w:val="Table"/>
        <w:tblW w:type="pct" w:w="5000.0"/>
        <w:tblLook w:firstRow="1"/>
      </w:tblPr>
      <w:tblGrid>
        <w:gridCol w:w="3168"/>
        <w:gridCol w:w="950"/>
        <w:gridCol w:w="950"/>
        <w:gridCol w:w="950"/>
        <w:gridCol w:w="950"/>
        <w:gridCol w:w="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n with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Max</w:t>
            </w:r>
          </w:p>
        </w:tc>
      </w:tr>
      <w:tr>
        <w:tc>
          <w:p>
            <w:pPr>
              <w:jc w:val="left"/>
            </w:pPr>
            <w:r>
              <w:t xml:space="preserve">Reach</w:t>
            </w:r>
          </w:p>
        </w:tc>
        <w:tc>
          <w:p>
            <w:pPr>
              <w:jc w:val="left"/>
            </w:pPr>
            <w:r>
              <w:t xml:space="preserve">12,897</w:t>
            </w:r>
          </w:p>
        </w:tc>
        <w:tc>
          <w:p>
            <w:pPr>
              <w:jc w:val="left"/>
            </w:pPr>
            <w:r>
              <w:t xml:space="preserve">2,967.93</w:t>
            </w:r>
          </w:p>
        </w:tc>
        <w:tc>
          <w:p>
            <w:pPr>
              <w:jc w:val="left"/>
            </w:pPr>
            <w:r>
              <w:t xml:space="preserve">2,241.00</w:t>
            </w:r>
          </w:p>
        </w:tc>
        <w:tc>
          <w:p>
            <w:pPr>
              <w:jc w:val="left"/>
            </w:pPr>
            <w:r>
              <w:t xml:space="preserve">5,548.20</w:t>
            </w:r>
          </w:p>
        </w:tc>
        <w:tc>
          <w:p>
            <w:pPr>
              <w:jc w:val="left"/>
            </w:pPr>
            <w:r>
              <w:t xml:space="preserve">19,934.00</w:t>
            </w:r>
          </w:p>
        </w:tc>
      </w:tr>
      <w:tr>
        <w:tc>
          <w:p>
            <w:pPr>
              <w:jc w:val="left"/>
            </w:pPr>
            <w:r>
              <w:t xml:space="preserve">Gravity (exp)</w:t>
            </w:r>
          </w:p>
        </w:tc>
        <w:tc>
          <w:p>
            <w:pPr>
              <w:jc w:val="left"/>
            </w:pPr>
            <w:r>
              <w:t xml:space="preserve">12,897</w:t>
            </w:r>
          </w:p>
        </w:tc>
        <w:tc>
          <w:p>
            <w:pPr>
              <w:jc w:val="left"/>
            </w:pPr>
            <w:r>
              <w:t xml:space="preserve">2,277.92</w:t>
            </w:r>
          </w:p>
        </w:tc>
        <w:tc>
          <w:p>
            <w:pPr>
              <w:jc w:val="left"/>
            </w:pPr>
            <w:r>
              <w:t xml:space="preserve">1,726.00</w:t>
            </w:r>
          </w:p>
        </w:tc>
        <w:tc>
          <w:p>
            <w:pPr>
              <w:jc w:val="left"/>
            </w:pPr>
            <w:r>
              <w:t xml:space="preserve">4,313.34</w:t>
            </w:r>
          </w:p>
        </w:tc>
        <w:tc>
          <w:p>
            <w:pPr>
              <w:jc w:val="left"/>
            </w:pPr>
            <w:r>
              <w:t xml:space="preserve">16,027.12</w:t>
            </w:r>
          </w:p>
        </w:tc>
      </w:tr>
      <w:tr>
        <w:tc>
          <w:p>
            <w:pPr>
              <w:jc w:val="left"/>
            </w:pPr>
            <w:r>
              <w:t xml:space="preserve">Gravity (log)</w:t>
            </w:r>
          </w:p>
        </w:tc>
        <w:tc>
          <w:p>
            <w:pPr>
              <w:jc w:val="left"/>
            </w:pPr>
            <w:r>
              <w:t xml:space="preserve">12,897</w:t>
            </w:r>
          </w:p>
        </w:tc>
        <w:tc>
          <w:p>
            <w:pPr>
              <w:jc w:val="left"/>
            </w:pPr>
            <w:r>
              <w:t xml:space="preserve">2,577.42</w:t>
            </w:r>
          </w:p>
        </w:tc>
        <w:tc>
          <w:p>
            <w:pPr>
              <w:jc w:val="left"/>
            </w:pPr>
            <w:r>
              <w:t xml:space="preserve">1,936.88</w:t>
            </w:r>
          </w:p>
        </w:tc>
        <w:tc>
          <w:p>
            <w:pPr>
              <w:jc w:val="left"/>
            </w:pPr>
            <w:r>
              <w:t xml:space="preserve">4,825.26</w:t>
            </w:r>
          </w:p>
        </w:tc>
        <w:tc>
          <w:p>
            <w:pPr>
              <w:jc w:val="left"/>
            </w:pPr>
            <w:r>
              <w:t xml:space="preserve">18,082.06</w:t>
            </w:r>
          </w:p>
        </w:tc>
      </w:tr>
      <w:tr>
        <w:tc>
          <w:p>
            <w:pPr>
              <w:jc w:val="left"/>
            </w:pPr>
            <w:r>
              <w:t xml:space="preserve">KNN access</w:t>
            </w:r>
          </w:p>
        </w:tc>
        <w:tc>
          <w:p>
            <w:pPr>
              <w:jc w:val="left"/>
            </w:pPr>
            <w:r>
              <w:t xml:space="preserve">12,897</w:t>
            </w:r>
          </w:p>
        </w:tc>
        <w:tc>
          <w:p>
            <w:pPr>
              <w:jc w:val="left"/>
            </w:pPr>
            <w:r>
              <w:t xml:space="preserve">513.70</w:t>
            </w:r>
          </w:p>
        </w:tc>
        <w:tc>
          <w:p>
            <w:pPr>
              <w:jc w:val="left"/>
            </w:pPr>
            <w:r>
              <w:t xml:space="preserve">356.12</w:t>
            </w:r>
          </w:p>
        </w:tc>
        <w:tc>
          <w:p>
            <w:pPr>
              <w:jc w:val="left"/>
            </w:pPr>
            <w:r>
              <w:t xml:space="preserve">878.19</w:t>
            </w:r>
          </w:p>
        </w:tc>
        <w:tc>
          <w:p>
            <w:pPr>
              <w:jc w:val="left"/>
            </w:pPr>
            <w:r>
              <w:t xml:space="preserve">7,959.39</w:t>
            </w:r>
          </w:p>
        </w:tc>
      </w:tr>
    </w:tbl>
    <w:p>
      <w:pPr>
        <w:pStyle w:val="BodyText"/>
      </w:pPr>
      <w:r>
        <w:t xml:space="preserve">Served buildings drop ~1.8 % and mean Reach ~7 %, driven by uphill</w:t>
      </w:r>
      <w:r>
        <w:t xml:space="preserve"> </w:t>
      </w:r>
      <w:r>
        <w:t xml:space="preserve">routes near Beacon Hill, Copp’s Hill, Bunker Hill, and the terrain</w:t>
      </w:r>
      <w:r>
        <w:t xml:space="preserve"> </w:t>
      </w:r>
      <w:r>
        <w:t xml:space="preserve">rises in Somerville and Cambridge. MIT_SAP (flat river bank) is</w:t>
      </w:r>
      <w:r>
        <w:t xml:space="preserve"> </w:t>
      </w:r>
      <w:r>
        <w:t xml:space="preserve">essentially unchanged; Harvard_GSD’s Reach falls ~15 % as some 400 m</w:t>
      </w:r>
      <w:r>
        <w:t xml:space="preserve"> </w:t>
      </w:r>
      <w:r>
        <w:t xml:space="preserve">walks now climb toward the Radcliffe Yard rise.</w:t>
      </w:r>
    </w:p>
    <w:bookmarkEnd w:id="41"/>
    <w:bookmarkStart w:id="43" w:name="h-enable-turns-threshold-45-penalty-35"/>
    <w:p>
      <w:pPr>
        <w:pStyle w:val="Heading2"/>
      </w:pPr>
      <w:bookmarkStart w:id="42" w:name="h-enable-turns-threshold-45-penalty-35"/>
      <w:hyperlink w:anchor="id10">
        <w:r>
          <w:rPr>
            <w:rStyle w:val="Hyperlink"/>
          </w:rPr>
          <w:t xml:space="preserve">(h) Enable turns, threshold = 45°, penalty = 35</w:t>
        </w:r>
      </w:hyperlink>
      <w:bookmarkEnd w:id="42"/>
    </w:p>
    <w:p>
      <w:pPr>
        <w:pStyle w:val="FirstParagraph"/>
      </w:pPr>
      <w:r>
        <w:t xml:space="preserve">Any deviation from straight-ahead by more than 45° at a node adds 35</w:t>
      </w:r>
      <w:r>
        <w:t xml:space="preserve"> </w:t>
      </w:r>
      <w:r>
        <w:t xml:space="preserve">cost-units. The turn-aware engine builds a line graph internally and</w:t>
      </w:r>
      <w:r>
        <w:t xml:space="preserve"> </w:t>
      </w:r>
      <w:r>
        <w:t xml:space="preserve">is slower — expect a few minutes for all 14,751 origins. The tables</w:t>
      </w:r>
      <w:r>
        <w:t xml:space="preserve"> </w:t>
      </w:r>
      <w:r>
        <w:t xml:space="preserve">below use the 2D network so they compare directly to step (f):</w:t>
      </w:r>
    </w:p>
    <w:p>
      <w:pPr>
        <w:pStyle w:val="SourceCode"/>
      </w:pPr>
      <w:r>
        <w:rPr>
          <w:rStyle w:val="VerbatimChar"/>
        </w:rPr>
        <w:t xml:space="preserve">una.settings.network_file = "20260703_PercLenNetwork_InnerCore.geojson"</w:t>
      </w:r>
      <w:r>
        <w:br/>
      </w:r>
      <w:r>
        <w:rPr>
          <w:rStyle w:val="VerbatimChar"/>
        </w:rPr>
        <w:t xml:space="preserve">una.settings.elevation = False</w:t>
      </w:r>
      <w:r>
        <w:br/>
      </w:r>
      <w:r>
        <w:rPr>
          <w:rStyle w:val="VerbatimChar"/>
        </w:rPr>
        <w:t xml:space="preserve">una.settings.turns          = True</w:t>
      </w:r>
      <w:r>
        <w:br/>
      </w:r>
      <w:r>
        <w:rPr>
          <w:rStyle w:val="VerbatimChar"/>
        </w:rPr>
        <w:t xml:space="preserve">una.settings.turn_threshold = 45</w:t>
      </w:r>
      <w:r>
        <w:br/>
      </w:r>
      <w:r>
        <w:rPr>
          <w:rStyle w:val="VerbatimChar"/>
        </w:rPr>
        <w:t xml:space="preserve">una.settings.turn_penalty   = 35</w:t>
      </w:r>
    </w:p>
    <w:tbl>
      <w:tblPr>
        <w:tblStyle w:val="Table"/>
        <w:tblW w:type="pct" w:w="5000.0"/>
        <w:tblLook w:firstRow="1"/>
      </w:tblPr>
      <w:tblGrid>
        <w:gridCol w:w="3168"/>
        <w:gridCol w:w="950"/>
        <w:gridCol w:w="950"/>
        <w:gridCol w:w="950"/>
        <w:gridCol w:w="950"/>
        <w:gridCol w:w="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n with 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jc w:val="left"/>
            </w:pPr>
            <w:r>
              <w:t xml:space="preserve">Max</w:t>
            </w:r>
          </w:p>
        </w:tc>
      </w:tr>
      <w:tr>
        <w:tc>
          <w:p>
            <w:pPr>
              <w:jc w:val="left"/>
            </w:pPr>
            <w:r>
              <w:t xml:space="preserve">Reach</w:t>
            </w:r>
          </w:p>
        </w:tc>
        <w:tc>
          <w:p>
            <w:pPr>
              <w:jc w:val="left"/>
            </w:pPr>
            <w:r>
              <w:t xml:space="preserve">12,723</w:t>
            </w:r>
          </w:p>
        </w:tc>
        <w:tc>
          <w:p>
            <w:pPr>
              <w:jc w:val="left"/>
            </w:pPr>
            <w:r>
              <w:t xml:space="preserve">2,831.80</w:t>
            </w:r>
          </w:p>
        </w:tc>
        <w:tc>
          <w:p>
            <w:pPr>
              <w:jc w:val="left"/>
            </w:pPr>
            <w:r>
              <w:t xml:space="preserve">2,100.00</w:t>
            </w:r>
          </w:p>
        </w:tc>
        <w:tc>
          <w:p>
            <w:pPr>
              <w:jc w:val="left"/>
            </w:pPr>
            <w:r>
              <w:t xml:space="preserve">5,296.60</w:t>
            </w:r>
          </w:p>
        </w:tc>
        <w:tc>
          <w:p>
            <w:pPr>
              <w:jc w:val="left"/>
            </w:pPr>
            <w:r>
              <w:t xml:space="preserve">19,934.00</w:t>
            </w:r>
          </w:p>
        </w:tc>
      </w:tr>
      <w:tr>
        <w:tc>
          <w:p>
            <w:pPr>
              <w:jc w:val="left"/>
            </w:pPr>
            <w:r>
              <w:t xml:space="preserve">Gravity (exp)</w:t>
            </w:r>
          </w:p>
        </w:tc>
        <w:tc>
          <w:p>
            <w:pPr>
              <w:jc w:val="left"/>
            </w:pPr>
            <w:r>
              <w:t xml:space="preserve">12,723</w:t>
            </w:r>
          </w:p>
        </w:tc>
        <w:tc>
          <w:p>
            <w:pPr>
              <w:jc w:val="left"/>
            </w:pPr>
            <w:r>
              <w:t xml:space="preserve">2,164.42</w:t>
            </w:r>
          </w:p>
        </w:tc>
        <w:tc>
          <w:p>
            <w:pPr>
              <w:jc w:val="left"/>
            </w:pPr>
            <w:r>
              <w:t xml:space="preserve">1,619.11</w:t>
            </w:r>
          </w:p>
        </w:tc>
        <w:tc>
          <w:p>
            <w:pPr>
              <w:jc w:val="left"/>
            </w:pPr>
            <w:r>
              <w:t xml:space="preserve">4,169.19</w:t>
            </w:r>
          </w:p>
        </w:tc>
        <w:tc>
          <w:p>
            <w:pPr>
              <w:jc w:val="left"/>
            </w:pPr>
            <w:r>
              <w:t xml:space="preserve">16,218.53</w:t>
            </w:r>
          </w:p>
        </w:tc>
      </w:tr>
      <w:tr>
        <w:tc>
          <w:p>
            <w:pPr>
              <w:jc w:val="left"/>
            </w:pPr>
            <w:r>
              <w:t xml:space="preserve">Gravity (log)</w:t>
            </w:r>
          </w:p>
        </w:tc>
        <w:tc>
          <w:p>
            <w:pPr>
              <w:jc w:val="left"/>
            </w:pPr>
            <w:r>
              <w:t xml:space="preserve">12,723</w:t>
            </w:r>
          </w:p>
        </w:tc>
        <w:tc>
          <w:p>
            <w:pPr>
              <w:jc w:val="left"/>
            </w:pPr>
            <w:r>
              <w:t xml:space="preserve">2,455.62</w:t>
            </w:r>
          </w:p>
        </w:tc>
        <w:tc>
          <w:p>
            <w:pPr>
              <w:jc w:val="left"/>
            </w:pPr>
            <w:r>
              <w:t xml:space="preserve">1,831.23</w:t>
            </w:r>
          </w:p>
        </w:tc>
        <w:tc>
          <w:p>
            <w:pPr>
              <w:jc w:val="left"/>
            </w:pPr>
            <w:r>
              <w:t xml:space="preserve">4,713.00</w:t>
            </w:r>
          </w:p>
        </w:tc>
        <w:tc>
          <w:p>
            <w:pPr>
              <w:jc w:val="left"/>
            </w:pPr>
            <w:r>
              <w:t xml:space="preserve">18,281.50</w:t>
            </w:r>
          </w:p>
        </w:tc>
      </w:tr>
      <w:tr>
        <w:tc>
          <w:p>
            <w:pPr>
              <w:jc w:val="left"/>
            </w:pPr>
            <w:r>
              <w:t xml:space="preserve">KNN access</w:t>
            </w:r>
          </w:p>
        </w:tc>
        <w:tc>
          <w:p>
            <w:pPr>
              <w:jc w:val="left"/>
            </w:pPr>
            <w:r>
              <w:t xml:space="preserve">12,723</w:t>
            </w:r>
          </w:p>
        </w:tc>
        <w:tc>
          <w:p>
            <w:pPr>
              <w:jc w:val="left"/>
            </w:pPr>
            <w:r>
              <w:t xml:space="preserve">513.13</w:t>
            </w:r>
          </w:p>
        </w:tc>
        <w:tc>
          <w:p>
            <w:pPr>
              <w:jc w:val="left"/>
            </w:pPr>
            <w:r>
              <w:t xml:space="preserve">353.85</w:t>
            </w:r>
          </w:p>
        </w:tc>
        <w:tc>
          <w:p>
            <w:pPr>
              <w:jc w:val="left"/>
            </w:pPr>
            <w:r>
              <w:t xml:space="preserve">872.96</w:t>
            </w:r>
          </w:p>
        </w:tc>
        <w:tc>
          <w:p>
            <w:pPr>
              <w:jc w:val="left"/>
            </w:pPr>
            <w:r>
              <w:t xml:space="preserve">7,951.62</w:t>
            </w:r>
          </w:p>
        </w:tc>
      </w:tr>
    </w:tbl>
    <w:p>
      <w:pPr>
        <w:pStyle w:val="BodyText"/>
      </w:pPr>
      <w:r>
        <w:t xml:space="preserve">Mean Reach falls ~11 % with turns enabled. Paths that look short on a</w:t>
      </w:r>
      <w:r>
        <w:t xml:space="preserve"> </w:t>
      </w:r>
      <w:r>
        <w:t xml:space="preserve">map can become inaccessible once realistic pedestrian routing costs</w:t>
      </w:r>
      <w:r>
        <w:t xml:space="preserve"> </w:t>
      </w:r>
      <w:r>
        <w:t xml:space="preserve">are applied — and turns + elevation stack additively if you also</w:t>
      </w:r>
      <w:r>
        <w:t xml:space="preserve"> </w:t>
      </w:r>
      <w:r>
        <w:t xml:space="preserve">switch back to the 3D network.</w:t>
      </w:r>
    </w:p>
    <w:bookmarkEnd w:id="43"/>
    <w:bookmarkStart w:id="47" w:name="Xe1ba43a9c2442e4fd1e446f3568402c5f642032"/>
    <w:p>
      <w:pPr>
        <w:pStyle w:val="Heading2"/>
      </w:pPr>
      <w:bookmarkStart w:id="44" w:name="X64f7c4faa5f18cefdec58723bb0d91fd8bb6260"/>
      <w:hyperlink w:anchor="id11">
        <w:r>
          <w:rPr>
            <w:rStyle w:val="Hyperlink"/>
          </w:rPr>
          <w:t xml:space="preserve">(i) WalkScore-style composite with UNA_Batch.py</w:t>
        </w:r>
      </w:hyperlink>
      <w:bookmarkEnd w:id="44"/>
    </w:p>
    <w:p>
      <w:pPr>
        <w:pStyle w:val="FirstParagraph"/>
      </w:pPr>
      <w:r>
        <w:t xml:space="preserve">Steps (a)–(h) measured accessibility to one destination type at a</w:t>
      </w:r>
      <w:r>
        <w:t xml:space="preserve"> </w:t>
      </w:r>
      <w:r>
        <w:t xml:space="preserve">time. A WalkScore-style composite sums accessibility across many</w:t>
      </w:r>
      <w:r>
        <w:t xml:space="preserve"> </w:t>
      </w:r>
      <w:r>
        <w:t xml:space="preserve">destination categories — schools, transit, food, healthcare, parks —</w:t>
      </w:r>
      <w:r>
        <w:t xml:space="preserve"> </w:t>
      </w:r>
      <w:r>
        <w:t xml:space="preserve">into one number per origin.</w:t>
      </w:r>
      <w:r>
        <w:t xml:space="preserve"> </w:t>
      </w:r>
      <w:r>
        <w:rPr>
          <w:rStyle w:val="VerbatimChar"/>
        </w:rPr>
        <w:t xml:space="preserve">UNA_Batch.py</w:t>
      </w:r>
      <w:r>
        <w:t xml:space="preserve"> </w:t>
      </w:r>
      <w:r>
        <w:t xml:space="preserve">does this from a single</w:t>
      </w:r>
      <w:r>
        <w:t xml:space="preserve"> </w:t>
      </w:r>
      <w:r>
        <w:t xml:space="preserve">pairings CSV: one row per category, each with its own</w:t>
      </w:r>
      <w:r>
        <w:t xml:space="preserve"> </w:t>
      </w:r>
      <w:r>
        <w:rPr>
          <w:rStyle w:val="VerbatimChar"/>
        </w:rPr>
        <w:t xml:space="preserve">destinations_file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knn_weights</w:t>
      </w:r>
      <w:r>
        <w:t xml:space="preserve">, decay</w:t>
      </w:r>
      <w:r>
        <w:t xml:space="preserve"> </w:t>
      </w:r>
      <w:r>
        <w:t xml:space="preserve">parameters and flags. The Boston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Boston/Boston_KNN_pairings.csv</w:t>
      </w:r>
      <w:r>
        <w:t xml:space="preserve">) lists 10 categories (arts, bus,</w:t>
      </w:r>
      <w:r>
        <w:t xml:space="preserve"> </w:t>
      </w:r>
      <w:r>
        <w:t xml:space="preserve">food &amp; beverage, health, metro, parks, personal services, public</w:t>
      </w:r>
      <w:r>
        <w:t xml:space="preserve"> </w:t>
      </w:r>
      <w:r>
        <w:t xml:space="preserve">institutions, retail, schools), each with</w:t>
      </w:r>
      <w:r>
        <w:t xml:space="preserve"> </w:t>
      </w:r>
      <w:r>
        <w:rPr>
          <w:rStyle w:val="VerbatimChar"/>
        </w:rPr>
        <w:t xml:space="preserve">batch_composite_output</w:t>
      </w:r>
      <w:r>
        <w:t xml:space="preserve"> </w:t>
      </w:r>
      <w:r>
        <w:t xml:space="preserve">= TRUE and composited on</w:t>
      </w:r>
      <w:r>
        <w:t xml:space="preserve"> </w:t>
      </w:r>
      <w:r>
        <w:rPr>
          <w:rStyle w:val="VerbatimChar"/>
        </w:rPr>
        <w:t xml:space="preserve">knn_access</w:t>
      </w:r>
      <w:r>
        <w:t xml:space="preserve">.</w:t>
      </w:r>
    </w:p>
    <w:p>
      <w:pPr>
        <w:pStyle w:val="BodyText"/>
      </w:pPr>
      <w:r>
        <w:t xml:space="preserve">The full</w:t>
      </w:r>
      <w:r>
        <w:t xml:space="preserve"> </w:t>
      </w:r>
      <w:r>
        <w:rPr>
          <w:rStyle w:val="VerbatimChar"/>
        </w:rPr>
        <w:t xml:space="preserve">UNA_Batch.py</w:t>
      </w:r>
      <w:r>
        <w:t xml:space="preserve"> </w:t>
      </w:r>
      <w:r>
        <w:t xml:space="preserve">script — edit the three path constants and</w:t>
      </w:r>
      <w:r>
        <w:t xml:space="preserve"> </w:t>
      </w:r>
      <w:r>
        <w:t xml:space="preserve">the analysis type at the top, everything else stays as shipped:</w:t>
      </w:r>
    </w:p>
    <w:p>
      <w:pPr>
        <w:pStyle w:val="SourceCode"/>
      </w:pPr>
      <w:r>
        <w:rPr>
          <w:rStyle w:val="VerbatimChar"/>
        </w:rPr>
        <w:t xml:space="preserve">from source import UNA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rPr>
          <w:rStyle w:val="VerbatimChar"/>
        </w:rPr>
        <w:t xml:space="preserve"># EDIT THESE THREE VALUES</w:t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DATA_FOLDER   = r"Boston"</w:t>
      </w:r>
      <w:r>
        <w:br/>
      </w:r>
      <w:r>
        <w:rPr>
          <w:rStyle w:val="VerbatimChar"/>
        </w:rPr>
        <w:t xml:space="preserve">PAIRINGS_FILE = r"Boston/Boston_KNN_pairings.csv"</w:t>
      </w:r>
      <w:r>
        <w:br/>
      </w:r>
      <w:r>
        <w:rPr>
          <w:rStyle w:val="VerbatimChar"/>
        </w:rPr>
        <w:t xml:space="preserve">OUTPUT_FOLDER = r"Boston/Results"</w:t>
      </w:r>
      <w:r>
        <w:br/>
      </w:r>
      <w:r>
        <w:br/>
      </w:r>
      <w:r>
        <w:rPr>
          <w:rStyle w:val="VerbatimChar"/>
        </w:rPr>
        <w:t xml:space="preserve"># Which analysis to run per row — must match the metric in your</w:t>
      </w:r>
      <w:r>
        <w:br/>
      </w:r>
      <w:r>
        <w:rPr>
          <w:rStyle w:val="VerbatimChar"/>
        </w:rPr>
        <w:t xml:space="preserve"># pairings CSV:</w:t>
      </w:r>
      <w:r>
        <w:br/>
      </w:r>
      <w:r>
        <w:rPr>
          <w:rStyle w:val="VerbatimChar"/>
        </w:rPr>
        <w:t xml:space="preserve">#   "accessibility"  — for reach / gravity_* / knn_access composites</w:t>
      </w:r>
      <w:r>
        <w:br/>
      </w:r>
      <w:r>
        <w:rPr>
          <w:rStyle w:val="VerbatimChar"/>
        </w:rPr>
        <w:t xml:space="preserve">#   "flow"           — for edge_flow or node_flow composites</w:t>
      </w:r>
      <w:r>
        <w:br/>
      </w:r>
      <w:r>
        <w:rPr>
          <w:rStyle w:val="VerbatimChar"/>
        </w:rPr>
        <w:t xml:space="preserve">ANALYSIS = "accessibility"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rPr>
          <w:rStyle w:val="VerbatimChar"/>
        </w:rPr>
        <w:t xml:space="preserve"># Run the batch (per-row files + optional composite file)</w:t>
      </w:r>
      <w:r>
        <w:br/>
      </w:r>
      <w:r>
        <w:rPr>
          <w:rStyle w:val="VerbatimChar"/>
        </w:rPr>
        <w:t xml:space="preserve"># 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una = UNA()</w:t>
      </w:r>
      <w:r>
        <w:br/>
      </w:r>
      <w:r>
        <w:rPr>
          <w:rStyle w:val="VerbatimChar"/>
        </w:rPr>
        <w:t xml:space="preserve">una.settings.data_folder   = DATA_FOLDER</w:t>
      </w:r>
      <w:r>
        <w:br/>
      </w:r>
      <w:r>
        <w:rPr>
          <w:rStyle w:val="VerbatimChar"/>
        </w:rPr>
        <w:t xml:space="preserve">una.settings.output_folder = OUTPUT_FOLDER</w:t>
      </w:r>
      <w:r>
        <w:br/>
      </w:r>
      <w:r>
        <w:br/>
      </w:r>
      <w:r>
        <w:rPr>
          <w:rStyle w:val="VerbatimChar"/>
        </w:rPr>
        <w:t xml:space="preserve">una.RunBatch(ANALYSIS, pairing_file=PAIRINGS_FILE)</w:t>
      </w:r>
    </w:p>
    <w:p>
      <w:pPr>
        <w:pStyle w:val="FirstParagraph"/>
      </w:pPr>
      <w:r>
        <w:t xml:space="preserve">All the per-category settings —</w:t>
      </w:r>
      <w:r>
        <w:t xml:space="preserve"> </w:t>
      </w:r>
      <w:r>
        <w:rPr>
          <w:rStyle w:val="VerbatimChar"/>
        </w:rPr>
        <w:t xml:space="preserve">destinations_file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knn_weights</w:t>
      </w:r>
      <w:r>
        <w:t xml:space="preserve">, decay parameters,</w:t>
      </w:r>
      <w:r>
        <w:t xml:space="preserve"> </w:t>
      </w:r>
      <w:r>
        <w:rPr>
          <w:rStyle w:val="VerbatimChar"/>
        </w:rPr>
        <w:t xml:space="preserve">calculate_*</w:t>
      </w:r>
      <w:r>
        <w:t xml:space="preserve"> </w:t>
      </w:r>
      <w:r>
        <w:t xml:space="preserve">flags,</w:t>
      </w:r>
      <w:r>
        <w:t xml:space="preserve"> </w:t>
      </w:r>
      <w:r>
        <w:rPr>
          <w:rStyle w:val="VerbatimChar"/>
        </w:rPr>
        <w:t xml:space="preserve">batch_composite_output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batch_composite_result_column</w:t>
      </w:r>
      <w:r>
        <w:t xml:space="preserve"> </w:t>
      </w:r>
      <w:r>
        <w:t xml:space="preserve">—</w:t>
      </w:r>
      <w:r>
        <w:t xml:space="preserve"> </w:t>
      </w:r>
      <w:r>
        <w:t xml:space="preserve">come from the pairings CSV rows, not from the script. Run it with:</w:t>
      </w:r>
    </w:p>
    <w:p>
      <w:pPr>
        <w:pStyle w:val="SourceCode"/>
      </w:pPr>
      <w:r>
        <w:rPr>
          <w:rStyle w:val="VerbatimChar"/>
        </w:rPr>
        <w:t xml:space="preserve">python UNA_Batch.py</w:t>
      </w:r>
    </w:p>
    <w:p>
      <w:pPr>
        <w:pStyle w:val="FirstParagraph"/>
      </w:pPr>
      <w:r>
        <w:t xml:space="preserve">The script builds the topology once per row, runs the accessibility</w:t>
      </w:r>
      <w:r>
        <w:t xml:space="preserve"> </w:t>
      </w:r>
      <w:r>
        <w:t xml:space="preserve">engine per category, and — because rows set</w:t>
      </w:r>
      <w:r>
        <w:t xml:space="preserve"> </w:t>
      </w:r>
      <w:r>
        <w:rPr>
          <w:rStyle w:val="VerbatimChar"/>
        </w:rPr>
        <w:t xml:space="preserve">batch_composite_output = TRUE</w:t>
      </w:r>
      <w:r>
        <w:t xml:space="preserve"> </w:t>
      </w:r>
      <w:r>
        <w:t xml:space="preserve">— assembles a single joint output</w:t>
      </w:r>
      <w:r>
        <w:t xml:space="preserve"> </w:t>
      </w:r>
      <w:r>
        <w:t xml:space="preserve">with one row per origin building whose final</w:t>
      </w:r>
      <w:r>
        <w:t xml:space="preserve"> </w:t>
      </w:r>
      <w:r>
        <w:rPr>
          <w:rStyle w:val="VerbatimChar"/>
        </w:rPr>
        <w:t xml:space="preserve">composite_sum</w:t>
      </w:r>
      <w:r>
        <w:t xml:space="preserve"> </w:t>
      </w:r>
      <w:r>
        <w:t xml:space="preserve">column</w:t>
      </w:r>
      <w:r>
        <w:t xml:space="preserve"> </w:t>
      </w:r>
      <w:r>
        <w:t xml:space="preserve">adds the 10 category KNN scores into one WalkScore-style number.</w:t>
      </w:r>
      <w:r>
        <w:t xml:space="preserve"> </w:t>
      </w:r>
      <w:r>
        <w:t xml:space="preserve">Compositing is built into</w:t>
      </w:r>
      <w:r>
        <w:t xml:space="preserve"> </w:t>
      </w:r>
      <w:r>
        <w:rPr>
          <w:rStyle w:val="VerbatimChar"/>
        </w:rPr>
        <w:t xml:space="preserve">UNA.RunBatch</w:t>
      </w:r>
      <w:r>
        <w:t xml:space="preserve"> </w:t>
      </w:r>
      <w:r>
        <w:t xml:space="preserve">— see</w:t>
      </w:r>
      <w:r>
        <w:t xml:space="preserve"> </w:t>
      </w:r>
      <w:hyperlink r:id="rId45">
        <w:r>
          <w:rPr>
            <w:rStyle w:val="Hyperlink"/>
          </w:rPr>
          <w:t xml:space="preserve">Project workflow — RunBatch()</w:t>
        </w:r>
      </w:hyperlink>
      <w:r>
        <w:t xml:space="preserve"> </w:t>
      </w:r>
      <w:r>
        <w:t xml:space="preserve">for the mechanics and</w:t>
      </w:r>
      <w: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user_guide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settings_reference:name</w:t>
      </w:r>
      <w:r>
        <w:t xml:space="preserve"> </w:t>
      </w:r>
      <w:r>
        <w:t xml:space="preserve">for per-row naming.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Composites are grouped by origins layer. All 10 rows here share the</w:t>
      </w:r>
      <w:r>
        <w:t xml:space="preserve"> </w:t>
      </w:r>
      <w:r>
        <w:t xml:space="preserve">same origins file, so the batch writes a single</w:t>
      </w:r>
      <w:r>
        <w:t xml:space="preserve"> </w:t>
      </w:r>
      <w:r>
        <w:rPr>
          <w:rStyle w:val="VerbatimChar"/>
        </w:rPr>
        <w:t xml:space="preserve">composite</w:t>
      </w:r>
      <w:r>
        <w:t xml:space="preserve"> </w:t>
      </w:r>
      <w:r>
        <w:t xml:space="preserve">file.</w:t>
      </w:r>
      <w:r>
        <w:t xml:space="preserve"> </w:t>
      </w:r>
      <w:r>
        <w:t xml:space="preserve">A pairing table whose rows use several different origin layers</w:t>
      </w:r>
      <w:r>
        <w:t xml:space="preserve"> </w:t>
      </w:r>
      <w:r>
        <w:t xml:space="preserve">(e.g. “Homes to …” and “Jobs to …” rows) produces one composite</w:t>
      </w:r>
      <w:r>
        <w:t xml:space="preserve"> </w:t>
      </w:r>
      <w:r>
        <w:t xml:space="preserve">file per origin layer, each with its own</w:t>
      </w:r>
      <w:r>
        <w:t xml:space="preserve"> </w:t>
      </w:r>
      <w:r>
        <w:rPr>
          <w:rStyle w:val="VerbatimChar"/>
        </w:rPr>
        <w:t xml:space="preserve">composite_sum</w:t>
      </w:r>
      <w:r>
        <w:t xml:space="preserve"> </w:t>
      </w:r>
      <w:r>
        <w:t xml:space="preserve">column —</w:t>
      </w:r>
      <w:r>
        <w:t xml:space="preserve"> </w:t>
      </w:r>
      <w:r>
        <w:t xml:space="preserve">see</w:t>
      </w:r>
      <w:r>
        <w:t xml:space="preserve"> </w:t>
      </w:r>
      <w:hyperlink r:id="rId45">
        <w:r>
          <w:rPr>
            <w:rStyle w:val="Hyperlink"/>
          </w:rPr>
          <w:t xml:space="preserve">Project workflow — RunBatch()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6400800" cy="4650707"/>
            <wp:effectExtent b="0" l="0" r="0" t="0"/>
            <wp:docPr descr="K-Nearest-Neighbor composite (WalkScore-style) for Cambridge building centroids. Highest scores near Harvard Square and Central Square." title="" id="1" name="Picture"/>
            <a:graphic>
              <a:graphicData uri="http://schemas.openxmlformats.org/drawingml/2006/picture">
                <pic:pic>
                  <pic:nvPicPr>
                    <pic:cNvPr descr="../_images/t2_image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5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K-Nearest-Neighbor composite (WalkScore-style) for Cambridge</w:t>
      </w:r>
      <w:r>
        <w:t xml:space="preserve"> </w:t>
      </w:r>
      <w:r>
        <w:t xml:space="preserve">building centroids. Highest scores near Harvard Square and Central</w:t>
      </w:r>
      <w:r>
        <w:t xml:space="preserve"> </w:t>
      </w:r>
      <w:r>
        <w:t xml:space="preserve">Square.</w:t>
      </w:r>
    </w:p>
    <w:p>
      <w:pPr>
        <w:pStyle w:val="BodyText"/>
      </w:pPr>
      <w:r>
        <w:t xml:space="preserve">Adapting the pairings table is the main editorial workflow: add a row</w:t>
      </w:r>
      <w:r>
        <w:t xml:space="preserve"> </w:t>
      </w:r>
      <w:r>
        <w:t xml:space="preserve">for a new category, tweak a radius or</w:t>
      </w:r>
      <w:r>
        <w:t xml:space="preserve"> </w:t>
      </w:r>
      <w:r>
        <w:rPr>
          <w:rStyle w:val="VerbatimChar"/>
        </w:rPr>
        <w:t xml:space="preserve">knn_weights</w:t>
      </w:r>
      <w:r>
        <w:t xml:space="preserve"> </w:t>
      </w:r>
      <w:r>
        <w:t xml:space="preserve">vector, rerun —</w:t>
      </w:r>
      <w:r>
        <w:t xml:space="preserve"> </w:t>
      </w:r>
      <w:r>
        <w:t xml:space="preserve">no Python editing required. With</w:t>
      </w:r>
      <w:r>
        <w:t xml:space="preserve"> </w:t>
      </w:r>
      <w:r>
        <w:rPr>
          <w:rStyle w:val="VerbatimChar"/>
        </w:rPr>
        <w:t xml:space="preserve">turns=TRUE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elevation=TRUE</w:t>
      </w:r>
      <w:r>
        <w:t xml:space="preserve"> </w:t>
      </w:r>
      <w:r>
        <w:t xml:space="preserve">(3D network) the full 10-row run takes 30–60 minutes on a laptop; with</w:t>
      </w:r>
      <w:r>
        <w:t xml:space="preserve"> </w:t>
      </w:r>
      <w:r>
        <w:t xml:space="preserve">both FALSE, 5–10 minutes.</w:t>
      </w:r>
    </w:p>
    <w:bookmarkEnd w:id="47"/>
    <w:bookmarkStart w:id="50" w:name="what-we-covered"/>
    <w:p>
      <w:pPr>
        <w:pStyle w:val="Heading2"/>
      </w:pPr>
      <w:bookmarkStart w:id="48" w:name="what-we-covered"/>
      <w:hyperlink w:anchor="id12">
        <w:r>
          <w:rPr>
            <w:rStyle w:val="Hyperlink"/>
          </w:rPr>
          <w:t xml:space="preserve">What we covered</w:t>
        </w:r>
      </w:hyperlink>
      <w:bookmarkEnd w:id="48"/>
    </w:p>
    <w:p>
      <w:pPr>
        <w:pStyle w:val="FirstParagraph"/>
      </w:pPr>
      <w:r>
        <w:t xml:space="preserve">Reach (a–b), Gravity under two decay shapes (c–d), KNN access (e),</w:t>
      </w:r>
      <w:r>
        <w:t xml:space="preserve"> </w:t>
      </w:r>
      <w:r>
        <w:t xml:space="preserve">city scale (f), elevation (g), turns (h), and a CSV-driven composite</w:t>
      </w:r>
      <w:r>
        <w:t xml:space="preserve"> </w:t>
      </w:r>
      <w:r>
        <w:t xml:space="preserve">(i). The same settings combine freely — try a different radius, a</w:t>
      </w:r>
      <w:r>
        <w:t xml:space="preserve"> </w:t>
      </w:r>
      <w:r>
        <w:t xml:space="preserve">sharper logistic midpoint, or</w:t>
      </w:r>
      <w:r>
        <w:t xml:space="preserve"> </w:t>
      </w:r>
      <w:r>
        <w:rPr>
          <w:rStyle w:val="VerbatimChar"/>
        </w:rPr>
        <w:t xml:space="preserve">knn_weights = (1.0, 1.0, 0.5)</w:t>
      </w:r>
      <w:r>
        <w:t xml:space="preserve"> </w:t>
      </w:r>
      <w:r>
        <w:t xml:space="preserve">and</w:t>
      </w:r>
      <w:r>
        <w:t xml:space="preserve"> </w:t>
      </w:r>
      <w:r>
        <w:t xml:space="preserve">watch each change ripple through the result columns.</w:t>
      </w:r>
    </w:p>
    <w:p>
      <w:pPr>
        <w:pStyle w:val="BodyText"/>
      </w:pPr>
      <w:r>
        <w:t xml:space="preserve">Next:</w:t>
      </w:r>
      <w:r>
        <w:t xml:space="preserve"> </w:t>
      </w:r>
      <w:hyperlink r:id="rId49">
        <w:r>
          <w:rPr>
            <w:rStyle w:val="Hyperlink"/>
          </w:rPr>
          <w:t xml:space="preserve">Tutorial 3 — Foot-traffic flow analysis in Cambridge</w:t>
        </w:r>
      </w:hyperlink>
      <w:r>
        <w:t xml:space="preserve"> </w:t>
      </w:r>
      <w:r>
        <w:t xml:space="preserve">— from accessibility scores to per-edge</w:t>
      </w:r>
      <w:r>
        <w:t xml:space="preserve"> </w:t>
      </w:r>
      <w:r>
        <w:t xml:space="preserve">pedestrian flows.</w:t>
      </w:r>
    </w:p>
    <w:bookmarkEnd w:id="50"/>
    <w:bookmarkEnd w:id="51"/>
    <w:sectPr w:rsidR="00DE5FAA" w:rsidRPr="00047B08">
      <w:headerReference w:type="default" r:id="rId9"/>
      <w:footerReference w:type="even" r:id="rId11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51460347"/>
      <w:docPartObj>
        <w:docPartGallery w:val="Page Numbers (Bottom of Page)"/>
        <w:docPartUnique/>
      </w:docPartObj>
    </w:sdtPr>
    <w:sdtContent>
      <w:p w14:paraId="7E686B1D" w14:textId="31A90694" w:rsidR="003D773E" w:rsidRDefault="003D773E" w:rsidP="00F550E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C39CF0" w14:textId="77777777" w:rsidR="003D773E" w:rsidRDefault="003D7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3055095"/>
      <w:docPartObj>
        <w:docPartGallery w:val="Page Numbers (Bottom of Page)"/>
        <w:docPartUnique/>
      </w:docPartObj>
    </w:sdtPr>
    <w:sdtContent>
      <w:p w14:paraId="38C59AD5" w14:textId="31340636" w:rsidR="003D773E" w:rsidRDefault="003D773E" w:rsidP="00F550E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3569D964" w14:textId="77777777" w:rsidR="003D773E" w:rsidRDefault="003D773E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A827B" w14:textId="77777777" w:rsidR="007748FD" w:rsidRPr="00185D71" w:rsidRDefault="007748FD" w:rsidP="007748FD">
    <w:pPr>
      <w:pStyle w:val="Header"/>
      <w:rPr>
        <w:rFonts w:ascii="Aptos" w:hAnsi="Aptos"/>
        <w:b/>
        <w:bCs/>
      </w:rPr>
    </w:pPr>
    <w:r>
      <w:rPr>
        <w:rFonts w:ascii="Aptos" w:hAnsi="Aptos"/>
        <w:b/>
        <w:bCs/>
      </w:rPr>
      <w:t>UNA</w:t>
    </w:r>
    <w:r w:rsidRPr="00185D71">
      <w:rPr>
        <w:rFonts w:ascii="Aptos" w:hAnsi="Aptos"/>
        <w:b/>
        <w:bCs/>
      </w:rPr>
      <w:t xml:space="preserve"> </w:t>
    </w:r>
    <w:r>
      <w:rPr>
        <w:rFonts w:ascii="Aptos" w:hAnsi="Aptos"/>
        <w:b/>
        <w:bCs/>
      </w:rPr>
      <w:t>Python 2026</w:t>
    </w:r>
  </w:p>
  <w:p w14:paraId="75FCA882" w14:textId="77777777" w:rsidR="007748FD" w:rsidRDefault="007748FD" w:rsidP="007748FD">
    <w:pPr>
      <w:pStyle w:val="Header"/>
      <w:rPr>
        <w:rFonts w:ascii="Aptos" w:hAnsi="Aptos"/>
      </w:rPr>
    </w:pPr>
    <w:r w:rsidRPr="00276791">
      <w:rPr>
        <w:rFonts w:ascii="Aptos" w:hAnsi="Aptos"/>
        <w:b/>
        <w:bCs/>
      </w:rPr>
      <w:t>City Form Lab</w:t>
    </w:r>
    <w:r w:rsidRPr="00185D71">
      <w:rPr>
        <w:rFonts w:ascii="Aptos" w:hAnsi="Aptos"/>
      </w:rPr>
      <w:t xml:space="preserve">, </w:t>
    </w:r>
    <w:r>
      <w:rPr>
        <w:rFonts w:ascii="Aptos" w:hAnsi="Aptos"/>
      </w:rPr>
      <w:t>Department of Urban Studies and Planning,</w:t>
    </w:r>
    <w:r w:rsidRPr="00185D71">
      <w:rPr>
        <w:rFonts w:ascii="Aptos" w:hAnsi="Aptos"/>
      </w:rPr>
      <w:t xml:space="preserve"> MIT</w:t>
    </w:r>
    <w:r>
      <w:rPr>
        <w:rFonts w:ascii="Aptos" w:hAnsi="Aptos"/>
      </w:rPr>
      <w:t>.</w:t>
    </w:r>
  </w:p>
  <w:p w14:paraId="78D97EC8" w14:textId="77777777" w:rsidR="007748FD" w:rsidRPr="00185D71" w:rsidRDefault="007748FD" w:rsidP="007748FD">
    <w:pPr>
      <w:pStyle w:val="Header"/>
      <w:rPr>
        <w:rFonts w:ascii="Aptos" w:hAnsi="Aptos"/>
      </w:rPr>
    </w:pPr>
  </w:p>
  <w:p w14:paraId="4AE1ACBA" w14:textId="77777777" w:rsidR="007748FD" w:rsidRDefault="007748FD" w:rsidP="007748F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AC2EF7" wp14:editId="3E9299F0">
              <wp:simplePos x="0" y="0"/>
              <wp:positionH relativeFrom="column">
                <wp:posOffset>13533</wp:posOffset>
              </wp:positionH>
              <wp:positionV relativeFrom="paragraph">
                <wp:posOffset>50009</wp:posOffset>
              </wp:positionV>
              <wp:extent cx="5924862" cy="0"/>
              <wp:effectExtent l="0" t="12700" r="19050" b="12700"/>
              <wp:wrapNone/>
              <wp:docPr id="916300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862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CDDF3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3.95pt" to="467.55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r3v1nAEAAIgDAAAOAAAAZHJzL2Uyb0RvYy54bWysU8tu2zAQvAfoPxC8x5KFJEgEyzkkaC5B GzTJBzDU0iLKF5aMJf99l7QtF2mRQ9ELxcfM7M7uanU7WcO2gFF71/HlouYMnPS9dpuOv758Pb/m LCbhemG8g47vIPLb9Zez1RhaaPzgTQ/ISMTFdgwdH1IKbVVFOYAVceEDOHpUHq1IdMRN1aMYSd2a qqnrq2r02Af0EmKk2/v9I18XfaVApu9KRUjMdJxyS2XFsr7ltVqvRLtBEQYtD2mIf8jCCu0o6Cx1 L5Jg76j/kLJaoo9epYX0tvJKaQnFA7lZ1h/cPA8iQPFCxYlhLlP8f7Ly2/bOPSGVYQyxjeEJs4tJ oc1fyo9NpVi7uVgwJSbp8vKmubi+ajiTx7fqRAwY0wN4y/Km40a77EO0YvsYEwUj6BFCh1Posks7 Axls3A9QTPcUrCnsMhVwZ5BtBfWz/7nM/SOtgswUpY2ZSfXnpAM206BMykxcfk6c0SWid2kmWu08 /o2cpmOqao8/ut57zbbffL8rjSjloHYXZ4fRzPP0+7nQTz/Q+hcAAAD//wMAUEsDBBQABgAIAAAA IQC+6irf4AAAAAoBAAAPAAAAZHJzL2Rvd25yZXYueG1sTI9BS8NAEIXvgv9hGcGLtJtWY22aTRHF QwQF2+J5mkyTaHY2ZLdp/PeOXvQy8PFm3ryXrkfbqoF63zg2MJtGoIgLVzZcGdhtnyZ3oHxALrF1 TAa+yMM6Oz9LMSndid9o2IRKiQn7BA3UIXSJ1r6oyaKfuo5YtIPrLQbBvtJljycxt62eR9Gtttiw fKixo4eais/N0Rr4yN/zKr5aNIfXm/gZt0P8wkNuzOXF+LiScb8CFWgMfxfw00HyQybB9u7IpVet gflMFg0slqBEXV7Hwvtf1lmq/1fIvgEAAP//AwBQSwECLQAUAAYACAAAACEAtoM4kv4AAADhAQAA EwAAAAAAAAAAAAAAAAAAAAAAW0NvbnRlbnRfVHlwZXNdLnhtbFBLAQItABQABgAIAAAAIQA4/SH/ 1gAAAJQBAAALAAAAAAAAAAAAAAAAAC8BAABfcmVscy8ucmVsc1BLAQItABQABgAIAAAAIQAvr3v1 nAEAAIgDAAAOAAAAAAAAAAAAAAAAAC4CAABkcnMvZTJvRG9jLnhtbFBLAQItABQABgAIAAAAIQC+ 6irf4AAAAAoBAAAPAAAAAAAAAAAAAAAAAPYDAABkcnMvZG93bnJldi54bWxQSwUGAAAAAAQABADz AAAAAwUAAAAA " strokecolor="black [3200]" strokeweight="1.5pt">
              <v:stroke joinstyle="miter"/>
            </v:line>
          </w:pict>
        </mc:Fallback>
      </mc:AlternateContent>
    </w:r>
  </w:p>
  <w:p w14:paraId="606D0C1B" w14:textId="77777777" w:rsidR="007748FD" w:rsidRPr="007748FD" w:rsidRDefault="007748FD" w:rsidP="007748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518E1"/>
    <w:multiLevelType w:val="hybridMultilevel"/>
    <w:tmpl w:val="6C6017E4"/>
    <w:lvl w:ilvl="0" w:tplc="DC809BCC">
      <w:start w:val="1"/>
      <w:numFmt w:val="bullet"/>
      <w:lvlText w:val="•"/>
      <w:lvlJc w:val="left"/>
      <w:pPr>
        <w:ind w:left="720" w:hanging="360"/>
      </w:pPr>
    </w:lvl>
    <w:lvl w:ilvl="1" w:tplc="6D444A66">
      <w:numFmt w:val="decimal"/>
      <w:lvlText w:val=""/>
      <w:lvlJc w:val="left"/>
    </w:lvl>
    <w:lvl w:ilvl="2" w:tplc="8EE8D5D6">
      <w:numFmt w:val="decimal"/>
      <w:lvlText w:val=""/>
      <w:lvlJc w:val="left"/>
    </w:lvl>
    <w:lvl w:ilvl="3" w:tplc="EBB8B88E">
      <w:numFmt w:val="decimal"/>
      <w:lvlText w:val=""/>
      <w:lvlJc w:val="left"/>
    </w:lvl>
    <w:lvl w:ilvl="4" w:tplc="96223EC4">
      <w:numFmt w:val="decimal"/>
      <w:lvlText w:val=""/>
      <w:lvlJc w:val="left"/>
    </w:lvl>
    <w:lvl w:ilvl="5" w:tplc="32C654A2">
      <w:numFmt w:val="decimal"/>
      <w:lvlText w:val=""/>
      <w:lvlJc w:val="left"/>
    </w:lvl>
    <w:lvl w:ilvl="6" w:tplc="415E2B8E">
      <w:numFmt w:val="decimal"/>
      <w:lvlText w:val=""/>
      <w:lvlJc w:val="left"/>
    </w:lvl>
    <w:lvl w:ilvl="7" w:tplc="594896A6">
      <w:numFmt w:val="decimal"/>
      <w:lvlText w:val=""/>
      <w:lvlJc w:val="left"/>
    </w:lvl>
    <w:lvl w:ilvl="8" w:tplc="0D04976C">
      <w:numFmt w:val="decimal"/>
      <w:lvlText w:val=""/>
      <w:lvlJc w:val="left"/>
    </w:lvl>
  </w:abstractNum>
  <w:abstractNum w:abstractNumId="1" w15:restartNumberingAfterBreak="0">
    <w:nsid w:val="0A6916AE"/>
    <w:multiLevelType w:val="hybridMultilevel"/>
    <w:tmpl w:val="67F45480"/>
    <w:lvl w:ilvl="0" w:tplc="17CC3DE8">
      <w:start w:val="1"/>
      <w:numFmt w:val="bullet"/>
      <w:lvlText w:val="•"/>
      <w:lvlJc w:val="left"/>
      <w:pPr>
        <w:ind w:left="720" w:hanging="360"/>
      </w:pPr>
    </w:lvl>
    <w:lvl w:ilvl="1" w:tplc="55368FD4">
      <w:numFmt w:val="decimal"/>
      <w:lvlText w:val=""/>
      <w:lvlJc w:val="left"/>
    </w:lvl>
    <w:lvl w:ilvl="2" w:tplc="46BC09C0">
      <w:numFmt w:val="decimal"/>
      <w:lvlText w:val=""/>
      <w:lvlJc w:val="left"/>
    </w:lvl>
    <w:lvl w:ilvl="3" w:tplc="52B67A56">
      <w:numFmt w:val="decimal"/>
      <w:lvlText w:val=""/>
      <w:lvlJc w:val="left"/>
    </w:lvl>
    <w:lvl w:ilvl="4" w:tplc="D9D0BDE8">
      <w:numFmt w:val="decimal"/>
      <w:lvlText w:val=""/>
      <w:lvlJc w:val="left"/>
    </w:lvl>
    <w:lvl w:ilvl="5" w:tplc="0C9C42A4">
      <w:numFmt w:val="decimal"/>
      <w:lvlText w:val=""/>
      <w:lvlJc w:val="left"/>
    </w:lvl>
    <w:lvl w:ilvl="6" w:tplc="E13A285A">
      <w:numFmt w:val="decimal"/>
      <w:lvlText w:val=""/>
      <w:lvlJc w:val="left"/>
    </w:lvl>
    <w:lvl w:ilvl="7" w:tplc="6E96DCE8">
      <w:numFmt w:val="decimal"/>
      <w:lvlText w:val=""/>
      <w:lvlJc w:val="left"/>
    </w:lvl>
    <w:lvl w:ilvl="8" w:tplc="47AA9BD8">
      <w:numFmt w:val="decimal"/>
      <w:lvlText w:val=""/>
      <w:lvlJc w:val="left"/>
    </w:lvl>
  </w:abstractNum>
  <w:abstractNum w:abstractNumId="2" w15:restartNumberingAfterBreak="0">
    <w:nsid w:val="7AA72D2F"/>
    <w:multiLevelType w:val="hybridMultilevel"/>
    <w:tmpl w:val="2AD2296C"/>
    <w:lvl w:ilvl="0" w:tplc="5F8E39D0">
      <w:start w:val="1"/>
      <w:numFmt w:val="bullet"/>
      <w:lvlText w:val="●"/>
      <w:lvlJc w:val="left"/>
      <w:pPr>
        <w:ind w:left="720" w:hanging="360"/>
      </w:pPr>
    </w:lvl>
    <w:lvl w:ilvl="1" w:tplc="6542F0D2">
      <w:start w:val="1"/>
      <w:numFmt w:val="bullet"/>
      <w:lvlText w:val="○"/>
      <w:lvlJc w:val="left"/>
      <w:pPr>
        <w:ind w:left="1440" w:hanging="360"/>
      </w:pPr>
    </w:lvl>
    <w:lvl w:ilvl="2" w:tplc="518833A2">
      <w:start w:val="1"/>
      <w:numFmt w:val="bullet"/>
      <w:lvlText w:val="■"/>
      <w:lvlJc w:val="left"/>
      <w:pPr>
        <w:ind w:left="2160" w:hanging="360"/>
      </w:pPr>
    </w:lvl>
    <w:lvl w:ilvl="3" w:tplc="43F0A852">
      <w:start w:val="1"/>
      <w:numFmt w:val="bullet"/>
      <w:lvlText w:val="●"/>
      <w:lvlJc w:val="left"/>
      <w:pPr>
        <w:ind w:left="2880" w:hanging="360"/>
      </w:pPr>
    </w:lvl>
    <w:lvl w:ilvl="4" w:tplc="D69012B4">
      <w:start w:val="1"/>
      <w:numFmt w:val="bullet"/>
      <w:lvlText w:val="○"/>
      <w:lvlJc w:val="left"/>
      <w:pPr>
        <w:ind w:left="3600" w:hanging="360"/>
      </w:pPr>
    </w:lvl>
    <w:lvl w:ilvl="5" w:tplc="E7D46AA6">
      <w:start w:val="1"/>
      <w:numFmt w:val="bullet"/>
      <w:lvlText w:val="■"/>
      <w:lvlJc w:val="left"/>
      <w:pPr>
        <w:ind w:left="4320" w:hanging="360"/>
      </w:pPr>
    </w:lvl>
    <w:lvl w:ilvl="6" w:tplc="F88A859A">
      <w:start w:val="1"/>
      <w:numFmt w:val="bullet"/>
      <w:lvlText w:val="●"/>
      <w:lvlJc w:val="left"/>
      <w:pPr>
        <w:ind w:left="5040" w:hanging="360"/>
      </w:pPr>
    </w:lvl>
    <w:lvl w:ilvl="7" w:tplc="0678A466">
      <w:start w:val="1"/>
      <w:numFmt w:val="bullet"/>
      <w:lvlText w:val="●"/>
      <w:lvlJc w:val="left"/>
      <w:pPr>
        <w:ind w:left="5760" w:hanging="360"/>
      </w:pPr>
    </w:lvl>
    <w:lvl w:ilvl="8" w:tplc="90546ACE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899777936">
    <w:abstractNumId w:val="2"/>
    <w:lvlOverride w:ilvl="0">
      <w:startOverride w:val="1"/>
    </w:lvlOverride>
  </w:num>
  <w:num w:numId="2" w16cid:durableId="1555695132">
    <w:abstractNumId w:val="0"/>
    <w:lvlOverride w:ilvl="0">
      <w:startOverride w:val="1"/>
    </w:lvlOverride>
  </w:num>
  <w:num w:numId="3" w16cid:durableId="1495878998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48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8FD"/>
  </w:style>
  <w:style w:type="paragraph" w:styleId="Footer">
    <w:name w:val="footer"/>
    <w:basedOn w:val="Normal"/>
    <w:link w:val="FooterChar"/>
    <w:uiPriority w:val="99"/>
    <w:unhideWhenUsed/>
    <w:rsid w:val="007748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8FD"/>
  </w:style>
  <w:style w:type="character" w:styleId="PageNumber">
    <w:name w:val="page number"/>
    <w:basedOn w:val="DefaultParagraphFont"/>
    <w:uiPriority w:val="99"/>
    <w:semiHidden/>
    <w:unhideWhenUsed/>
    <w:rsid w:val="003D773E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2.xml" /><Relationship Id="rId11" Type="http://schemas.openxmlformats.org/officeDocument/2006/relationships/footer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hyperlink" Id="rId28" Target="../concepts/gravity_and_decay.html" TargetMode="External" /><Relationship Type="http://schemas.openxmlformats.org/officeDocument/2006/relationships/hyperlink" Id="rId45" Target="../user_guide/run_batch.html" TargetMode="External" /><Relationship Type="http://schemas.openxmlformats.org/officeDocument/2006/relationships/hyperlink" Id="rId49" Target="tutorial_3_flow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../concepts/gravity_and_decay.html" TargetMode="External" /><Relationship Type="http://schemas.openxmlformats.org/officeDocument/2006/relationships/hyperlink" Id="rId45" Target="../user_guide/run_batch.html" TargetMode="External" /><Relationship Type="http://schemas.openxmlformats.org/officeDocument/2006/relationships/hyperlink" Id="rId49" Target="tutorial_3_flow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2932</Words>
  <Characters>16713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2026-08-03T15:58:38Z</dcterms:created>
  <dcterms:modified xsi:type="dcterms:W3CDTF">2026-08-03T15:58:38Z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