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4B96DA" w14:textId="77777777" w:rsidR="00C343E8" w:rsidRDefault="00C343E8" w:rsidP="00C343E8">
      <w:pPr>
        <w:rPr>
          <w:b/>
        </w:rPr>
      </w:pPr>
      <w:r>
        <w:rPr>
          <w:b/>
        </w:rPr>
        <w:t>Building Energy Performance Policy (“Building Tune-up”) Regulations Hearing</w:t>
      </w:r>
    </w:p>
    <w:p w14:paraId="35E71312" w14:textId="77777777" w:rsidR="00C343E8" w:rsidRDefault="00C343E8" w:rsidP="00C343E8">
      <w:pPr>
        <w:rPr>
          <w:b/>
        </w:rPr>
      </w:pPr>
      <w:r>
        <w:rPr>
          <w:b/>
        </w:rPr>
        <w:t>Friday, October 2, 2020 – 3:30 PM</w:t>
      </w:r>
    </w:p>
    <w:p w14:paraId="7CD36656" w14:textId="77777777" w:rsidR="00C343E8" w:rsidRDefault="00C343E8" w:rsidP="00C343E8">
      <w:pPr>
        <w:rPr>
          <w:b/>
        </w:rPr>
      </w:pPr>
      <w:r>
        <w:rPr>
          <w:b/>
        </w:rPr>
        <w:t xml:space="preserve">Online meeting via Zoom </w:t>
      </w:r>
    </w:p>
    <w:p w14:paraId="5509F869" w14:textId="77777777" w:rsidR="00C343E8" w:rsidRDefault="00C343E8" w:rsidP="00C343E8">
      <w:pPr>
        <w:rPr>
          <w:b/>
        </w:rPr>
      </w:pPr>
    </w:p>
    <w:p w14:paraId="7A8BC80E" w14:textId="77777777" w:rsidR="00C343E8" w:rsidRPr="00BD4F62" w:rsidRDefault="00C343E8" w:rsidP="00C343E8">
      <w:pPr>
        <w:rPr>
          <w:b/>
          <w:u w:val="single"/>
        </w:rPr>
      </w:pPr>
      <w:r w:rsidRPr="00BD4F62">
        <w:rPr>
          <w:b/>
          <w:u w:val="single"/>
        </w:rPr>
        <w:t>Participants</w:t>
      </w:r>
    </w:p>
    <w:p w14:paraId="5F86C136" w14:textId="77777777" w:rsidR="00C343E8" w:rsidRDefault="00C343E8" w:rsidP="00C343E8">
      <w:pPr>
        <w:rPr>
          <w:bCs/>
        </w:rPr>
        <w:sectPr w:rsidR="00C343E8">
          <w:pgSz w:w="12240" w:h="15840"/>
          <w:pgMar w:top="1440" w:right="1440" w:bottom="1440" w:left="1440" w:header="720" w:footer="720" w:gutter="0"/>
          <w:cols w:space="720"/>
          <w:docGrid w:linePitch="360"/>
        </w:sectPr>
      </w:pPr>
    </w:p>
    <w:p w14:paraId="4FAF25D5" w14:textId="77777777" w:rsidR="00C343E8" w:rsidRPr="00BD4F62" w:rsidRDefault="00C343E8" w:rsidP="00C343E8">
      <w:pPr>
        <w:pStyle w:val="ListParagraph"/>
        <w:numPr>
          <w:ilvl w:val="0"/>
          <w:numId w:val="10"/>
        </w:numPr>
        <w:spacing w:after="160" w:line="259" w:lineRule="auto"/>
        <w:rPr>
          <w:bCs/>
        </w:rPr>
      </w:pPr>
      <w:r w:rsidRPr="00BD4F62">
        <w:rPr>
          <w:bCs/>
        </w:rPr>
        <w:lastRenderedPageBreak/>
        <w:t>Alex Dews</w:t>
      </w:r>
    </w:p>
    <w:p w14:paraId="0D4B47D4" w14:textId="77777777" w:rsidR="00C343E8" w:rsidRPr="00BD4F62" w:rsidRDefault="00C343E8" w:rsidP="00C343E8">
      <w:pPr>
        <w:pStyle w:val="ListParagraph"/>
        <w:numPr>
          <w:ilvl w:val="0"/>
          <w:numId w:val="10"/>
        </w:numPr>
        <w:spacing w:after="160" w:line="259" w:lineRule="auto"/>
        <w:rPr>
          <w:bCs/>
        </w:rPr>
      </w:pPr>
      <w:r w:rsidRPr="00BD4F62">
        <w:rPr>
          <w:bCs/>
        </w:rPr>
        <w:t xml:space="preserve">Alex </w:t>
      </w:r>
      <w:proofErr w:type="spellStart"/>
      <w:r w:rsidRPr="00BD4F62">
        <w:rPr>
          <w:bCs/>
        </w:rPr>
        <w:t>Grella</w:t>
      </w:r>
      <w:proofErr w:type="spellEnd"/>
    </w:p>
    <w:p w14:paraId="1C0F55A0" w14:textId="77777777" w:rsidR="00C343E8" w:rsidRPr="00BD4F62" w:rsidRDefault="00C343E8" w:rsidP="00C343E8">
      <w:pPr>
        <w:pStyle w:val="ListParagraph"/>
        <w:numPr>
          <w:ilvl w:val="0"/>
          <w:numId w:val="10"/>
        </w:numPr>
        <w:spacing w:after="160" w:line="259" w:lineRule="auto"/>
        <w:rPr>
          <w:bCs/>
        </w:rPr>
      </w:pPr>
      <w:r w:rsidRPr="00BD4F62">
        <w:rPr>
          <w:bCs/>
        </w:rPr>
        <w:t xml:space="preserve">Alexander </w:t>
      </w:r>
      <w:proofErr w:type="spellStart"/>
      <w:r w:rsidRPr="00BD4F62">
        <w:rPr>
          <w:bCs/>
        </w:rPr>
        <w:t>Wigginton</w:t>
      </w:r>
      <w:proofErr w:type="spellEnd"/>
    </w:p>
    <w:p w14:paraId="1354AB27" w14:textId="77777777" w:rsidR="00C343E8" w:rsidRPr="00BD4F62" w:rsidRDefault="00C343E8" w:rsidP="00C343E8">
      <w:pPr>
        <w:pStyle w:val="ListParagraph"/>
        <w:numPr>
          <w:ilvl w:val="0"/>
          <w:numId w:val="10"/>
        </w:numPr>
        <w:spacing w:after="160" w:line="259" w:lineRule="auto"/>
        <w:rPr>
          <w:bCs/>
        </w:rPr>
      </w:pPr>
      <w:r w:rsidRPr="00BD4F62">
        <w:rPr>
          <w:bCs/>
        </w:rPr>
        <w:t xml:space="preserve">Amanda </w:t>
      </w:r>
      <w:proofErr w:type="spellStart"/>
      <w:r w:rsidRPr="00BD4F62">
        <w:rPr>
          <w:bCs/>
        </w:rPr>
        <w:t>Clevinger</w:t>
      </w:r>
      <w:proofErr w:type="spellEnd"/>
    </w:p>
    <w:p w14:paraId="3236AA58" w14:textId="77777777" w:rsidR="00C343E8" w:rsidRPr="00BD4F62" w:rsidRDefault="00C343E8" w:rsidP="00C343E8">
      <w:pPr>
        <w:pStyle w:val="ListParagraph"/>
        <w:numPr>
          <w:ilvl w:val="0"/>
          <w:numId w:val="10"/>
        </w:numPr>
        <w:spacing w:after="160" w:line="259" w:lineRule="auto"/>
        <w:rPr>
          <w:bCs/>
        </w:rPr>
      </w:pPr>
      <w:r w:rsidRPr="00BD4F62">
        <w:rPr>
          <w:bCs/>
        </w:rPr>
        <w:t xml:space="preserve">Amanda </w:t>
      </w:r>
      <w:proofErr w:type="spellStart"/>
      <w:r w:rsidRPr="00BD4F62">
        <w:rPr>
          <w:bCs/>
        </w:rPr>
        <w:t>Warwood</w:t>
      </w:r>
      <w:proofErr w:type="spellEnd"/>
    </w:p>
    <w:p w14:paraId="7631CE21" w14:textId="77777777" w:rsidR="00C343E8" w:rsidRPr="00BD4F62" w:rsidRDefault="00C343E8" w:rsidP="00C343E8">
      <w:pPr>
        <w:pStyle w:val="ListParagraph"/>
        <w:numPr>
          <w:ilvl w:val="0"/>
          <w:numId w:val="10"/>
        </w:numPr>
        <w:spacing w:after="160" w:line="259" w:lineRule="auto"/>
        <w:rPr>
          <w:bCs/>
        </w:rPr>
      </w:pPr>
      <w:r w:rsidRPr="00BD4F62">
        <w:rPr>
          <w:bCs/>
        </w:rPr>
        <w:t xml:space="preserve">Andrea </w:t>
      </w:r>
      <w:proofErr w:type="spellStart"/>
      <w:r w:rsidRPr="00BD4F62">
        <w:rPr>
          <w:bCs/>
        </w:rPr>
        <w:t>Townrow</w:t>
      </w:r>
      <w:proofErr w:type="spellEnd"/>
    </w:p>
    <w:p w14:paraId="6FBDB1DC" w14:textId="77777777" w:rsidR="00C343E8" w:rsidRPr="00BD4F62" w:rsidRDefault="00C343E8" w:rsidP="00C343E8">
      <w:pPr>
        <w:pStyle w:val="ListParagraph"/>
        <w:numPr>
          <w:ilvl w:val="0"/>
          <w:numId w:val="10"/>
        </w:numPr>
        <w:spacing w:after="160" w:line="259" w:lineRule="auto"/>
        <w:rPr>
          <w:bCs/>
        </w:rPr>
      </w:pPr>
      <w:r w:rsidRPr="00BD4F62">
        <w:rPr>
          <w:bCs/>
        </w:rPr>
        <w:t>Brian Smiley</w:t>
      </w:r>
    </w:p>
    <w:p w14:paraId="5B5D3816" w14:textId="77777777" w:rsidR="00C343E8" w:rsidRPr="00BD4F62" w:rsidRDefault="00C343E8" w:rsidP="00C343E8">
      <w:pPr>
        <w:pStyle w:val="ListParagraph"/>
        <w:numPr>
          <w:ilvl w:val="0"/>
          <w:numId w:val="10"/>
        </w:numPr>
        <w:spacing w:after="160" w:line="259" w:lineRule="auto"/>
        <w:rPr>
          <w:bCs/>
        </w:rPr>
      </w:pPr>
      <w:r w:rsidRPr="00BD4F62">
        <w:rPr>
          <w:bCs/>
        </w:rPr>
        <w:t>Bryan Marco</w:t>
      </w:r>
    </w:p>
    <w:p w14:paraId="223D84E0" w14:textId="77777777" w:rsidR="00C343E8" w:rsidRPr="00BD4F62" w:rsidRDefault="00C343E8" w:rsidP="00C343E8">
      <w:pPr>
        <w:pStyle w:val="ListParagraph"/>
        <w:numPr>
          <w:ilvl w:val="0"/>
          <w:numId w:val="10"/>
        </w:numPr>
        <w:spacing w:after="160" w:line="259" w:lineRule="auto"/>
        <w:rPr>
          <w:bCs/>
        </w:rPr>
      </w:pPr>
      <w:r w:rsidRPr="00BD4F62">
        <w:rPr>
          <w:bCs/>
        </w:rPr>
        <w:t>Carson Turner</w:t>
      </w:r>
    </w:p>
    <w:p w14:paraId="2D1F59E5" w14:textId="77777777" w:rsidR="00C343E8" w:rsidRPr="00BD4F62" w:rsidRDefault="00C343E8" w:rsidP="00C343E8">
      <w:pPr>
        <w:pStyle w:val="ListParagraph"/>
        <w:numPr>
          <w:ilvl w:val="0"/>
          <w:numId w:val="10"/>
        </w:numPr>
        <w:spacing w:after="160" w:line="259" w:lineRule="auto"/>
        <w:rPr>
          <w:bCs/>
        </w:rPr>
      </w:pPr>
      <w:r w:rsidRPr="00BD4F62">
        <w:rPr>
          <w:bCs/>
        </w:rPr>
        <w:t>Chris Perry</w:t>
      </w:r>
    </w:p>
    <w:p w14:paraId="26C87BD6" w14:textId="77777777" w:rsidR="00C343E8" w:rsidRPr="00BD4F62" w:rsidRDefault="00C343E8" w:rsidP="00C343E8">
      <w:pPr>
        <w:pStyle w:val="ListParagraph"/>
        <w:numPr>
          <w:ilvl w:val="0"/>
          <w:numId w:val="10"/>
        </w:numPr>
        <w:spacing w:after="160" w:line="259" w:lineRule="auto"/>
        <w:rPr>
          <w:bCs/>
        </w:rPr>
      </w:pPr>
      <w:r w:rsidRPr="00BD4F62">
        <w:rPr>
          <w:bCs/>
        </w:rPr>
        <w:t>Chris Plummer</w:t>
      </w:r>
    </w:p>
    <w:p w14:paraId="74438BD1" w14:textId="77777777" w:rsidR="00C343E8" w:rsidRPr="00BD4F62" w:rsidRDefault="00C343E8" w:rsidP="00C343E8">
      <w:pPr>
        <w:pStyle w:val="ListParagraph"/>
        <w:numPr>
          <w:ilvl w:val="0"/>
          <w:numId w:val="10"/>
        </w:numPr>
        <w:spacing w:after="160" w:line="259" w:lineRule="auto"/>
        <w:rPr>
          <w:bCs/>
        </w:rPr>
      </w:pPr>
      <w:r w:rsidRPr="00BD4F62">
        <w:rPr>
          <w:bCs/>
        </w:rPr>
        <w:t>Christine Knapp</w:t>
      </w:r>
    </w:p>
    <w:p w14:paraId="5E57D147" w14:textId="77777777" w:rsidR="00C343E8" w:rsidRPr="00BD4F62" w:rsidRDefault="00C343E8" w:rsidP="00C343E8">
      <w:pPr>
        <w:pStyle w:val="ListParagraph"/>
        <w:numPr>
          <w:ilvl w:val="0"/>
          <w:numId w:val="10"/>
        </w:numPr>
        <w:spacing w:after="160" w:line="259" w:lineRule="auto"/>
        <w:rPr>
          <w:bCs/>
        </w:rPr>
      </w:pPr>
      <w:r w:rsidRPr="00BD4F62">
        <w:rPr>
          <w:bCs/>
        </w:rPr>
        <w:t>Daniel Naylor</w:t>
      </w:r>
    </w:p>
    <w:p w14:paraId="6A047079" w14:textId="77777777" w:rsidR="00C343E8" w:rsidRPr="00BD4F62" w:rsidRDefault="00C343E8" w:rsidP="00C343E8">
      <w:pPr>
        <w:pStyle w:val="ListParagraph"/>
        <w:numPr>
          <w:ilvl w:val="0"/>
          <w:numId w:val="10"/>
        </w:numPr>
        <w:spacing w:after="160" w:line="259" w:lineRule="auto"/>
        <w:rPr>
          <w:bCs/>
        </w:rPr>
      </w:pPr>
      <w:r w:rsidRPr="00BD4F62">
        <w:rPr>
          <w:bCs/>
        </w:rPr>
        <w:t xml:space="preserve">Dave </w:t>
      </w:r>
      <w:proofErr w:type="spellStart"/>
      <w:r w:rsidRPr="00BD4F62">
        <w:rPr>
          <w:bCs/>
        </w:rPr>
        <w:t>Lakatos</w:t>
      </w:r>
      <w:proofErr w:type="spellEnd"/>
    </w:p>
    <w:p w14:paraId="475BD070" w14:textId="77777777" w:rsidR="00C343E8" w:rsidRPr="00BD4F62" w:rsidRDefault="00C343E8" w:rsidP="00C343E8">
      <w:pPr>
        <w:pStyle w:val="ListParagraph"/>
        <w:numPr>
          <w:ilvl w:val="0"/>
          <w:numId w:val="10"/>
        </w:numPr>
        <w:spacing w:after="160" w:line="259" w:lineRule="auto"/>
        <w:rPr>
          <w:bCs/>
        </w:rPr>
      </w:pPr>
      <w:r w:rsidRPr="00BD4F62">
        <w:rPr>
          <w:bCs/>
        </w:rPr>
        <w:t>David Lemons</w:t>
      </w:r>
    </w:p>
    <w:p w14:paraId="2858238B" w14:textId="77777777" w:rsidR="00C343E8" w:rsidRPr="00BD4F62" w:rsidRDefault="00C343E8" w:rsidP="00C343E8">
      <w:pPr>
        <w:pStyle w:val="ListParagraph"/>
        <w:numPr>
          <w:ilvl w:val="0"/>
          <w:numId w:val="10"/>
        </w:numPr>
        <w:spacing w:after="160" w:line="259" w:lineRule="auto"/>
        <w:rPr>
          <w:bCs/>
        </w:rPr>
      </w:pPr>
      <w:r w:rsidRPr="00BD4F62">
        <w:rPr>
          <w:bCs/>
        </w:rPr>
        <w:t>Dominic McGraw</w:t>
      </w:r>
    </w:p>
    <w:p w14:paraId="58585094" w14:textId="77777777" w:rsidR="00C343E8" w:rsidRPr="00BD4F62" w:rsidRDefault="00C343E8" w:rsidP="00C343E8">
      <w:pPr>
        <w:pStyle w:val="ListParagraph"/>
        <w:numPr>
          <w:ilvl w:val="0"/>
          <w:numId w:val="10"/>
        </w:numPr>
        <w:spacing w:after="160" w:line="259" w:lineRule="auto"/>
        <w:rPr>
          <w:bCs/>
        </w:rPr>
      </w:pPr>
      <w:r w:rsidRPr="00BD4F62">
        <w:rPr>
          <w:bCs/>
        </w:rPr>
        <w:t>Don Haas</w:t>
      </w:r>
    </w:p>
    <w:p w14:paraId="4F1829BD" w14:textId="77777777" w:rsidR="00C343E8" w:rsidRPr="00BD4F62" w:rsidRDefault="00C343E8" w:rsidP="00C343E8">
      <w:pPr>
        <w:pStyle w:val="ListParagraph"/>
        <w:numPr>
          <w:ilvl w:val="0"/>
          <w:numId w:val="10"/>
        </w:numPr>
        <w:spacing w:after="160" w:line="259" w:lineRule="auto"/>
        <w:rPr>
          <w:bCs/>
        </w:rPr>
      </w:pPr>
      <w:r w:rsidRPr="00BD4F62">
        <w:rPr>
          <w:bCs/>
        </w:rPr>
        <w:t>Francine Locke</w:t>
      </w:r>
    </w:p>
    <w:p w14:paraId="6D0607AE" w14:textId="77777777" w:rsidR="00C343E8" w:rsidRPr="00BD4F62" w:rsidRDefault="00C343E8" w:rsidP="00C343E8">
      <w:pPr>
        <w:pStyle w:val="ListParagraph"/>
        <w:numPr>
          <w:ilvl w:val="0"/>
          <w:numId w:val="10"/>
        </w:numPr>
        <w:spacing w:after="160" w:line="259" w:lineRule="auto"/>
        <w:rPr>
          <w:bCs/>
        </w:rPr>
      </w:pPr>
      <w:r w:rsidRPr="00BD4F62">
        <w:rPr>
          <w:bCs/>
        </w:rPr>
        <w:t>Frank Troy</w:t>
      </w:r>
    </w:p>
    <w:p w14:paraId="1B619E1E" w14:textId="77777777" w:rsidR="00C343E8" w:rsidRPr="00BD4F62" w:rsidRDefault="00C343E8" w:rsidP="00C343E8">
      <w:pPr>
        <w:pStyle w:val="ListParagraph"/>
        <w:numPr>
          <w:ilvl w:val="0"/>
          <w:numId w:val="10"/>
        </w:numPr>
        <w:spacing w:after="160" w:line="259" w:lineRule="auto"/>
        <w:rPr>
          <w:bCs/>
        </w:rPr>
      </w:pPr>
      <w:r w:rsidRPr="00BD4F62">
        <w:rPr>
          <w:bCs/>
        </w:rPr>
        <w:t>Jamal Johnson</w:t>
      </w:r>
    </w:p>
    <w:p w14:paraId="0AFB9AC7" w14:textId="77777777" w:rsidR="00C343E8" w:rsidRPr="00BD4F62" w:rsidRDefault="00C343E8" w:rsidP="00C343E8">
      <w:pPr>
        <w:pStyle w:val="ListParagraph"/>
        <w:numPr>
          <w:ilvl w:val="0"/>
          <w:numId w:val="10"/>
        </w:numPr>
        <w:spacing w:after="160" w:line="259" w:lineRule="auto"/>
        <w:rPr>
          <w:bCs/>
        </w:rPr>
      </w:pPr>
      <w:r w:rsidRPr="00BD4F62">
        <w:rPr>
          <w:bCs/>
        </w:rPr>
        <w:t>James Kellett</w:t>
      </w:r>
    </w:p>
    <w:p w14:paraId="716D6868" w14:textId="77777777" w:rsidR="00C343E8" w:rsidRPr="00BD4F62" w:rsidRDefault="00C343E8" w:rsidP="00C343E8">
      <w:pPr>
        <w:pStyle w:val="ListParagraph"/>
        <w:numPr>
          <w:ilvl w:val="0"/>
          <w:numId w:val="10"/>
        </w:numPr>
        <w:spacing w:after="160" w:line="259" w:lineRule="auto"/>
        <w:rPr>
          <w:bCs/>
        </w:rPr>
      </w:pPr>
      <w:r w:rsidRPr="00BD4F62">
        <w:rPr>
          <w:bCs/>
        </w:rPr>
        <w:t>Jamie Hahn</w:t>
      </w:r>
    </w:p>
    <w:p w14:paraId="0D4B4CC1" w14:textId="77777777" w:rsidR="00C343E8" w:rsidRPr="00BD4F62" w:rsidRDefault="00C343E8" w:rsidP="00C343E8">
      <w:pPr>
        <w:pStyle w:val="ListParagraph"/>
        <w:numPr>
          <w:ilvl w:val="0"/>
          <w:numId w:val="10"/>
        </w:numPr>
        <w:spacing w:after="160" w:line="259" w:lineRule="auto"/>
        <w:rPr>
          <w:bCs/>
        </w:rPr>
      </w:pPr>
      <w:r w:rsidRPr="00BD4F62">
        <w:rPr>
          <w:bCs/>
        </w:rPr>
        <w:t>Joel Levin</w:t>
      </w:r>
    </w:p>
    <w:p w14:paraId="1CCC3C0B" w14:textId="77777777" w:rsidR="00C343E8" w:rsidRPr="00BD4F62" w:rsidRDefault="00C343E8" w:rsidP="00C343E8">
      <w:pPr>
        <w:pStyle w:val="ListParagraph"/>
        <w:numPr>
          <w:ilvl w:val="0"/>
          <w:numId w:val="10"/>
        </w:numPr>
        <w:spacing w:after="160" w:line="259" w:lineRule="auto"/>
        <w:rPr>
          <w:bCs/>
        </w:rPr>
      </w:pPr>
      <w:r w:rsidRPr="00BD4F62">
        <w:rPr>
          <w:bCs/>
        </w:rPr>
        <w:t>Jonathan Weiner</w:t>
      </w:r>
    </w:p>
    <w:p w14:paraId="622820C0" w14:textId="77777777" w:rsidR="00C343E8" w:rsidRPr="00BD4F62" w:rsidRDefault="00C343E8" w:rsidP="00C343E8">
      <w:pPr>
        <w:pStyle w:val="ListParagraph"/>
        <w:numPr>
          <w:ilvl w:val="0"/>
          <w:numId w:val="10"/>
        </w:numPr>
        <w:spacing w:after="160" w:line="259" w:lineRule="auto"/>
        <w:rPr>
          <w:bCs/>
        </w:rPr>
      </w:pPr>
      <w:r w:rsidRPr="00BD4F62">
        <w:rPr>
          <w:bCs/>
        </w:rPr>
        <w:t xml:space="preserve">Joseph </w:t>
      </w:r>
      <w:proofErr w:type="spellStart"/>
      <w:r w:rsidRPr="00BD4F62">
        <w:rPr>
          <w:bCs/>
        </w:rPr>
        <w:t>Luers</w:t>
      </w:r>
      <w:proofErr w:type="spellEnd"/>
    </w:p>
    <w:p w14:paraId="387D4CC7" w14:textId="77777777" w:rsidR="00C343E8" w:rsidRPr="00BD4F62" w:rsidRDefault="00C343E8" w:rsidP="00C343E8">
      <w:pPr>
        <w:pStyle w:val="ListParagraph"/>
        <w:numPr>
          <w:ilvl w:val="0"/>
          <w:numId w:val="10"/>
        </w:numPr>
        <w:spacing w:after="160" w:line="259" w:lineRule="auto"/>
        <w:rPr>
          <w:bCs/>
        </w:rPr>
      </w:pPr>
      <w:r w:rsidRPr="00BD4F62">
        <w:rPr>
          <w:bCs/>
        </w:rPr>
        <w:t>Joyce Lee</w:t>
      </w:r>
    </w:p>
    <w:p w14:paraId="39F73EC4" w14:textId="77777777" w:rsidR="00C343E8" w:rsidRPr="00BD4F62" w:rsidRDefault="00C343E8" w:rsidP="00C343E8">
      <w:pPr>
        <w:pStyle w:val="ListParagraph"/>
        <w:numPr>
          <w:ilvl w:val="0"/>
          <w:numId w:val="10"/>
        </w:numPr>
        <w:spacing w:after="160" w:line="259" w:lineRule="auto"/>
        <w:rPr>
          <w:bCs/>
        </w:rPr>
      </w:pPr>
      <w:r w:rsidRPr="00BD4F62">
        <w:rPr>
          <w:bCs/>
        </w:rPr>
        <w:t>Kaitlin Sheehan</w:t>
      </w:r>
    </w:p>
    <w:p w14:paraId="5D2FC230" w14:textId="77777777" w:rsidR="00C343E8" w:rsidRPr="00BD4F62" w:rsidRDefault="00C343E8" w:rsidP="00C343E8">
      <w:pPr>
        <w:pStyle w:val="ListParagraph"/>
        <w:numPr>
          <w:ilvl w:val="0"/>
          <w:numId w:val="10"/>
        </w:numPr>
        <w:spacing w:after="160" w:line="259" w:lineRule="auto"/>
        <w:rPr>
          <w:bCs/>
        </w:rPr>
      </w:pPr>
      <w:r w:rsidRPr="00BD4F62">
        <w:rPr>
          <w:bCs/>
        </w:rPr>
        <w:t xml:space="preserve">Kevin </w:t>
      </w:r>
      <w:proofErr w:type="spellStart"/>
      <w:r w:rsidRPr="00BD4F62">
        <w:rPr>
          <w:bCs/>
        </w:rPr>
        <w:t>Malawski</w:t>
      </w:r>
      <w:proofErr w:type="spellEnd"/>
    </w:p>
    <w:p w14:paraId="0C39953D" w14:textId="77777777" w:rsidR="00C343E8" w:rsidRPr="00BD4F62" w:rsidRDefault="00C343E8" w:rsidP="00C343E8">
      <w:pPr>
        <w:pStyle w:val="ListParagraph"/>
        <w:numPr>
          <w:ilvl w:val="0"/>
          <w:numId w:val="10"/>
        </w:numPr>
        <w:spacing w:after="160" w:line="259" w:lineRule="auto"/>
        <w:rPr>
          <w:bCs/>
        </w:rPr>
      </w:pPr>
      <w:r w:rsidRPr="00BD4F62">
        <w:rPr>
          <w:bCs/>
        </w:rPr>
        <w:t xml:space="preserve">Kristine </w:t>
      </w:r>
      <w:proofErr w:type="spellStart"/>
      <w:r w:rsidRPr="00BD4F62">
        <w:rPr>
          <w:bCs/>
        </w:rPr>
        <w:t>Kiphorn</w:t>
      </w:r>
      <w:proofErr w:type="spellEnd"/>
    </w:p>
    <w:p w14:paraId="181F0AEC" w14:textId="77777777" w:rsidR="00C343E8" w:rsidRPr="00BD4F62" w:rsidRDefault="00C343E8" w:rsidP="00C343E8">
      <w:pPr>
        <w:pStyle w:val="ListParagraph"/>
        <w:numPr>
          <w:ilvl w:val="0"/>
          <w:numId w:val="10"/>
        </w:numPr>
        <w:spacing w:after="160" w:line="259" w:lineRule="auto"/>
        <w:rPr>
          <w:bCs/>
        </w:rPr>
      </w:pPr>
      <w:r w:rsidRPr="00BD4F62">
        <w:rPr>
          <w:bCs/>
        </w:rPr>
        <w:t>Leanne Harvey</w:t>
      </w:r>
    </w:p>
    <w:p w14:paraId="79F2B754" w14:textId="77777777" w:rsidR="00C343E8" w:rsidRPr="00BD4F62" w:rsidRDefault="00C343E8" w:rsidP="00C343E8">
      <w:pPr>
        <w:pStyle w:val="ListParagraph"/>
        <w:numPr>
          <w:ilvl w:val="0"/>
          <w:numId w:val="10"/>
        </w:numPr>
        <w:spacing w:after="160" w:line="259" w:lineRule="auto"/>
        <w:rPr>
          <w:bCs/>
        </w:rPr>
      </w:pPr>
      <w:r w:rsidRPr="00BD4F62">
        <w:rPr>
          <w:bCs/>
        </w:rPr>
        <w:t xml:space="preserve">Lindsey </w:t>
      </w:r>
      <w:proofErr w:type="spellStart"/>
      <w:r w:rsidRPr="00BD4F62">
        <w:rPr>
          <w:bCs/>
        </w:rPr>
        <w:t>Walaski</w:t>
      </w:r>
      <w:proofErr w:type="spellEnd"/>
    </w:p>
    <w:p w14:paraId="6F70092C" w14:textId="77777777" w:rsidR="00C343E8" w:rsidRPr="00BD4F62" w:rsidRDefault="00C343E8" w:rsidP="00C343E8">
      <w:pPr>
        <w:pStyle w:val="ListParagraph"/>
        <w:numPr>
          <w:ilvl w:val="0"/>
          <w:numId w:val="10"/>
        </w:numPr>
        <w:spacing w:after="160" w:line="259" w:lineRule="auto"/>
        <w:rPr>
          <w:bCs/>
        </w:rPr>
      </w:pPr>
      <w:r w:rsidRPr="00BD4F62">
        <w:rPr>
          <w:bCs/>
        </w:rPr>
        <w:t xml:space="preserve">Lisa </w:t>
      </w:r>
      <w:proofErr w:type="spellStart"/>
      <w:r w:rsidRPr="00BD4F62">
        <w:rPr>
          <w:bCs/>
        </w:rPr>
        <w:t>Shulock</w:t>
      </w:r>
      <w:proofErr w:type="spellEnd"/>
    </w:p>
    <w:p w14:paraId="381CE056" w14:textId="77777777" w:rsidR="00C343E8" w:rsidRPr="00BD4F62" w:rsidRDefault="00C343E8" w:rsidP="00C343E8">
      <w:pPr>
        <w:pStyle w:val="ListParagraph"/>
        <w:numPr>
          <w:ilvl w:val="0"/>
          <w:numId w:val="10"/>
        </w:numPr>
        <w:spacing w:after="160" w:line="259" w:lineRule="auto"/>
        <w:rPr>
          <w:bCs/>
        </w:rPr>
      </w:pPr>
      <w:r w:rsidRPr="00BD4F62">
        <w:rPr>
          <w:bCs/>
        </w:rPr>
        <w:t>Liz McCormick</w:t>
      </w:r>
    </w:p>
    <w:p w14:paraId="46D706C1" w14:textId="77777777" w:rsidR="00C343E8" w:rsidRPr="00BD4F62" w:rsidRDefault="00C343E8" w:rsidP="00C343E8">
      <w:pPr>
        <w:pStyle w:val="ListParagraph"/>
        <w:numPr>
          <w:ilvl w:val="0"/>
          <w:numId w:val="10"/>
        </w:numPr>
        <w:spacing w:after="160" w:line="259" w:lineRule="auto"/>
        <w:rPr>
          <w:bCs/>
        </w:rPr>
      </w:pPr>
      <w:r w:rsidRPr="00BD4F62">
        <w:rPr>
          <w:bCs/>
        </w:rPr>
        <w:t xml:space="preserve">Maria de la </w:t>
      </w:r>
      <w:proofErr w:type="spellStart"/>
      <w:r w:rsidRPr="00BD4F62">
        <w:rPr>
          <w:bCs/>
        </w:rPr>
        <w:t>Motte</w:t>
      </w:r>
      <w:proofErr w:type="spellEnd"/>
    </w:p>
    <w:p w14:paraId="422AE6D7" w14:textId="77777777" w:rsidR="00C343E8" w:rsidRPr="00BD4F62" w:rsidRDefault="00C343E8" w:rsidP="00C343E8">
      <w:pPr>
        <w:pStyle w:val="ListParagraph"/>
        <w:numPr>
          <w:ilvl w:val="0"/>
          <w:numId w:val="10"/>
        </w:numPr>
        <w:spacing w:after="160" w:line="259" w:lineRule="auto"/>
        <w:rPr>
          <w:bCs/>
        </w:rPr>
      </w:pPr>
      <w:r w:rsidRPr="00BD4F62">
        <w:rPr>
          <w:bCs/>
        </w:rPr>
        <w:t>Megan Garner</w:t>
      </w:r>
    </w:p>
    <w:p w14:paraId="02E69FF3" w14:textId="77777777" w:rsidR="00C343E8" w:rsidRPr="00BD4F62" w:rsidRDefault="00C343E8" w:rsidP="00C343E8">
      <w:pPr>
        <w:pStyle w:val="ListParagraph"/>
        <w:numPr>
          <w:ilvl w:val="0"/>
          <w:numId w:val="10"/>
        </w:numPr>
        <w:spacing w:after="160" w:line="259" w:lineRule="auto"/>
        <w:rPr>
          <w:bCs/>
        </w:rPr>
      </w:pPr>
      <w:r w:rsidRPr="00BD4F62">
        <w:rPr>
          <w:bCs/>
        </w:rPr>
        <w:t>Paul Spiegel</w:t>
      </w:r>
    </w:p>
    <w:p w14:paraId="6492D896" w14:textId="77777777" w:rsidR="00C343E8" w:rsidRPr="00BD4F62" w:rsidRDefault="00C343E8" w:rsidP="00C343E8">
      <w:pPr>
        <w:pStyle w:val="ListParagraph"/>
        <w:numPr>
          <w:ilvl w:val="0"/>
          <w:numId w:val="10"/>
        </w:numPr>
        <w:spacing w:after="160" w:line="259" w:lineRule="auto"/>
        <w:rPr>
          <w:bCs/>
        </w:rPr>
      </w:pPr>
      <w:r w:rsidRPr="00BD4F62">
        <w:rPr>
          <w:bCs/>
        </w:rPr>
        <w:t>Richard McClure</w:t>
      </w:r>
    </w:p>
    <w:p w14:paraId="708BCBE2" w14:textId="77777777" w:rsidR="00C343E8" w:rsidRPr="00BD4F62" w:rsidRDefault="00C343E8" w:rsidP="00C343E8">
      <w:pPr>
        <w:pStyle w:val="ListParagraph"/>
        <w:numPr>
          <w:ilvl w:val="0"/>
          <w:numId w:val="10"/>
        </w:numPr>
        <w:spacing w:after="160" w:line="259" w:lineRule="auto"/>
        <w:rPr>
          <w:bCs/>
        </w:rPr>
      </w:pPr>
      <w:r w:rsidRPr="00BD4F62">
        <w:rPr>
          <w:bCs/>
        </w:rPr>
        <w:t>Ron Becker</w:t>
      </w:r>
    </w:p>
    <w:p w14:paraId="3E198255" w14:textId="77777777" w:rsidR="00C343E8" w:rsidRPr="00BD4F62" w:rsidRDefault="00C343E8" w:rsidP="00C343E8">
      <w:pPr>
        <w:pStyle w:val="ListParagraph"/>
        <w:numPr>
          <w:ilvl w:val="0"/>
          <w:numId w:val="10"/>
        </w:numPr>
        <w:spacing w:after="160" w:line="259" w:lineRule="auto"/>
        <w:rPr>
          <w:bCs/>
        </w:rPr>
      </w:pPr>
      <w:r w:rsidRPr="00BD4F62">
        <w:rPr>
          <w:bCs/>
        </w:rPr>
        <w:lastRenderedPageBreak/>
        <w:t>Scott Mitchell</w:t>
      </w:r>
    </w:p>
    <w:p w14:paraId="73A9B9A3" w14:textId="77777777" w:rsidR="00C343E8" w:rsidRPr="00BD4F62" w:rsidRDefault="00C343E8" w:rsidP="00C343E8">
      <w:pPr>
        <w:pStyle w:val="ListParagraph"/>
        <w:numPr>
          <w:ilvl w:val="0"/>
          <w:numId w:val="10"/>
        </w:numPr>
        <w:spacing w:after="160" w:line="259" w:lineRule="auto"/>
        <w:rPr>
          <w:bCs/>
        </w:rPr>
      </w:pPr>
      <w:r w:rsidRPr="00BD4F62">
        <w:rPr>
          <w:bCs/>
        </w:rPr>
        <w:t xml:space="preserve">Stephen </w:t>
      </w:r>
      <w:proofErr w:type="spellStart"/>
      <w:r w:rsidRPr="00BD4F62">
        <w:rPr>
          <w:bCs/>
        </w:rPr>
        <w:t>Dudek</w:t>
      </w:r>
      <w:proofErr w:type="spellEnd"/>
    </w:p>
    <w:p w14:paraId="51439C59" w14:textId="77777777" w:rsidR="00C343E8" w:rsidRPr="00BD4F62" w:rsidRDefault="00C343E8" w:rsidP="00C343E8">
      <w:pPr>
        <w:pStyle w:val="ListParagraph"/>
        <w:numPr>
          <w:ilvl w:val="0"/>
          <w:numId w:val="10"/>
        </w:numPr>
        <w:spacing w:after="160" w:line="259" w:lineRule="auto"/>
        <w:rPr>
          <w:bCs/>
        </w:rPr>
      </w:pPr>
      <w:proofErr w:type="spellStart"/>
      <w:r w:rsidRPr="00BD4F62">
        <w:rPr>
          <w:bCs/>
        </w:rPr>
        <w:t>Vibhor</w:t>
      </w:r>
      <w:proofErr w:type="spellEnd"/>
      <w:r w:rsidRPr="00BD4F62">
        <w:rPr>
          <w:bCs/>
        </w:rPr>
        <w:t xml:space="preserve"> </w:t>
      </w:r>
      <w:proofErr w:type="spellStart"/>
      <w:r w:rsidRPr="00BD4F62">
        <w:rPr>
          <w:bCs/>
        </w:rPr>
        <w:t>Dutt</w:t>
      </w:r>
      <w:proofErr w:type="spellEnd"/>
    </w:p>
    <w:p w14:paraId="29D1DF2B" w14:textId="77777777" w:rsidR="00C343E8" w:rsidRPr="00BD4F62" w:rsidRDefault="00C343E8" w:rsidP="00C343E8">
      <w:pPr>
        <w:pStyle w:val="ListParagraph"/>
        <w:numPr>
          <w:ilvl w:val="0"/>
          <w:numId w:val="10"/>
        </w:numPr>
        <w:spacing w:after="160" w:line="259" w:lineRule="auto"/>
        <w:rPr>
          <w:bCs/>
        </w:rPr>
      </w:pPr>
      <w:r w:rsidRPr="00BD4F62">
        <w:rPr>
          <w:bCs/>
        </w:rPr>
        <w:t>Vincent Char</w:t>
      </w:r>
    </w:p>
    <w:p w14:paraId="736B507B" w14:textId="77777777" w:rsidR="00C343E8" w:rsidRPr="00BD4F62" w:rsidRDefault="00C343E8" w:rsidP="00C343E8">
      <w:pPr>
        <w:pStyle w:val="ListParagraph"/>
        <w:numPr>
          <w:ilvl w:val="0"/>
          <w:numId w:val="10"/>
        </w:numPr>
        <w:spacing w:after="160" w:line="259" w:lineRule="auto"/>
        <w:rPr>
          <w:bCs/>
        </w:rPr>
      </w:pPr>
      <w:r w:rsidRPr="00BD4F62">
        <w:rPr>
          <w:bCs/>
        </w:rPr>
        <w:t>William Dillon</w:t>
      </w:r>
    </w:p>
    <w:p w14:paraId="76FB730B" w14:textId="77777777" w:rsidR="00C343E8" w:rsidRPr="00BD4F62" w:rsidRDefault="00C343E8" w:rsidP="00C343E8">
      <w:pPr>
        <w:pStyle w:val="ListParagraph"/>
        <w:numPr>
          <w:ilvl w:val="0"/>
          <w:numId w:val="10"/>
        </w:numPr>
        <w:spacing w:after="160" w:line="259" w:lineRule="auto"/>
        <w:rPr>
          <w:bCs/>
        </w:rPr>
      </w:pPr>
      <w:r w:rsidRPr="00BD4F62">
        <w:rPr>
          <w:bCs/>
        </w:rPr>
        <w:t>Zach Greene</w:t>
      </w:r>
    </w:p>
    <w:p w14:paraId="277970A6" w14:textId="77777777" w:rsidR="00C343E8" w:rsidRPr="00BD4F62" w:rsidRDefault="00C343E8" w:rsidP="00C343E8">
      <w:pPr>
        <w:pStyle w:val="ListParagraph"/>
        <w:numPr>
          <w:ilvl w:val="0"/>
          <w:numId w:val="10"/>
        </w:numPr>
        <w:spacing w:after="160" w:line="259" w:lineRule="auto"/>
        <w:rPr>
          <w:bCs/>
        </w:rPr>
      </w:pPr>
      <w:r w:rsidRPr="00BD4F62">
        <w:rPr>
          <w:bCs/>
        </w:rPr>
        <w:t>12152667316</w:t>
      </w:r>
    </w:p>
    <w:p w14:paraId="78E34952" w14:textId="77777777" w:rsidR="00C343E8" w:rsidRPr="00BD4F62" w:rsidRDefault="00C343E8" w:rsidP="00C343E8">
      <w:pPr>
        <w:pStyle w:val="ListParagraph"/>
        <w:numPr>
          <w:ilvl w:val="0"/>
          <w:numId w:val="10"/>
        </w:numPr>
        <w:spacing w:after="160" w:line="259" w:lineRule="auto"/>
        <w:rPr>
          <w:bCs/>
        </w:rPr>
      </w:pPr>
      <w:r w:rsidRPr="00BD4F62">
        <w:rPr>
          <w:bCs/>
        </w:rPr>
        <w:t>16102463641</w:t>
      </w:r>
    </w:p>
    <w:p w14:paraId="4280D7C2" w14:textId="77777777" w:rsidR="00C343E8" w:rsidRPr="00BD4F62" w:rsidRDefault="00C343E8" w:rsidP="00C343E8">
      <w:pPr>
        <w:pStyle w:val="ListParagraph"/>
        <w:numPr>
          <w:ilvl w:val="0"/>
          <w:numId w:val="10"/>
        </w:numPr>
        <w:spacing w:after="160" w:line="259" w:lineRule="auto"/>
        <w:rPr>
          <w:bCs/>
        </w:rPr>
      </w:pPr>
      <w:r w:rsidRPr="00BD4F62">
        <w:rPr>
          <w:bCs/>
        </w:rPr>
        <w:t>16107151436</w:t>
      </w:r>
    </w:p>
    <w:p w14:paraId="63E208D0" w14:textId="77777777" w:rsidR="00C343E8" w:rsidRPr="00BD4F62" w:rsidRDefault="00C343E8" w:rsidP="00C343E8">
      <w:pPr>
        <w:pStyle w:val="ListParagraph"/>
        <w:numPr>
          <w:ilvl w:val="0"/>
          <w:numId w:val="10"/>
        </w:numPr>
        <w:spacing w:after="160" w:line="259" w:lineRule="auto"/>
        <w:rPr>
          <w:bCs/>
        </w:rPr>
      </w:pPr>
      <w:r w:rsidRPr="00BD4F62">
        <w:rPr>
          <w:bCs/>
        </w:rPr>
        <w:t>16108324927</w:t>
      </w:r>
    </w:p>
    <w:p w14:paraId="7178FD82" w14:textId="77777777" w:rsidR="00C343E8" w:rsidRPr="00BD4F62" w:rsidRDefault="00C343E8" w:rsidP="00C343E8">
      <w:pPr>
        <w:pStyle w:val="ListParagraph"/>
        <w:numPr>
          <w:ilvl w:val="0"/>
          <w:numId w:val="10"/>
        </w:numPr>
        <w:spacing w:after="160" w:line="259" w:lineRule="auto"/>
        <w:rPr>
          <w:bCs/>
        </w:rPr>
      </w:pPr>
      <w:r w:rsidRPr="00BD4F62">
        <w:rPr>
          <w:bCs/>
        </w:rPr>
        <w:t>16109698537</w:t>
      </w:r>
    </w:p>
    <w:p w14:paraId="49A25E49" w14:textId="77777777" w:rsidR="00C343E8" w:rsidRDefault="00C343E8" w:rsidP="00C343E8">
      <w:pPr>
        <w:sectPr w:rsidR="00C343E8" w:rsidSect="00BD4F62">
          <w:type w:val="continuous"/>
          <w:pgSz w:w="12240" w:h="15840"/>
          <w:pgMar w:top="1440" w:right="1440" w:bottom="1440" w:left="1440" w:header="720" w:footer="720" w:gutter="0"/>
          <w:cols w:num="3" w:space="720"/>
          <w:docGrid w:linePitch="360"/>
        </w:sectPr>
      </w:pPr>
    </w:p>
    <w:p w14:paraId="7507EC4F" w14:textId="77777777" w:rsidR="00C343E8" w:rsidRDefault="00C343E8" w:rsidP="00C343E8">
      <w:pPr>
        <w:rPr>
          <w:b/>
          <w:u w:val="single"/>
        </w:rPr>
      </w:pPr>
    </w:p>
    <w:p w14:paraId="4C019214" w14:textId="77777777" w:rsidR="00C343E8" w:rsidRPr="00BD4F62" w:rsidRDefault="00C343E8" w:rsidP="00C343E8">
      <w:pPr>
        <w:rPr>
          <w:b/>
          <w:u w:val="single"/>
        </w:rPr>
      </w:pPr>
      <w:r>
        <w:rPr>
          <w:b/>
          <w:u w:val="single"/>
        </w:rPr>
        <w:t>Hearing Overview</w:t>
      </w:r>
    </w:p>
    <w:p w14:paraId="734DDB02" w14:textId="77777777" w:rsidR="00C343E8" w:rsidRDefault="00C343E8" w:rsidP="00C343E8">
      <w:pPr>
        <w:pStyle w:val="ListParagraph"/>
        <w:numPr>
          <w:ilvl w:val="0"/>
          <w:numId w:val="9"/>
        </w:numPr>
        <w:spacing w:after="160" w:line="259" w:lineRule="auto"/>
      </w:pPr>
      <w:r>
        <w:t>Zach Greene led the meeting and he began by introducing himself, Christine Knapp (Director, Office of Sustainability) and James Kellett (Deputy City Solicitor, Regulatory Law Unit).</w:t>
      </w:r>
    </w:p>
    <w:p w14:paraId="0CD7E273" w14:textId="77777777" w:rsidR="00C343E8" w:rsidRDefault="00C343E8" w:rsidP="00C343E8">
      <w:pPr>
        <w:pStyle w:val="ListParagraph"/>
        <w:numPr>
          <w:ilvl w:val="0"/>
          <w:numId w:val="9"/>
        </w:numPr>
        <w:spacing w:after="160" w:line="259" w:lineRule="auto"/>
      </w:pPr>
      <w:r>
        <w:t>Mr. Greene asked who would like to provide remarks and had interested participants message him in the “chat” function or “raise their hand”. Five participants requested an opportunity to provide remarks.</w:t>
      </w:r>
    </w:p>
    <w:p w14:paraId="51172008" w14:textId="77777777" w:rsidR="00C343E8" w:rsidRDefault="00C343E8" w:rsidP="00C343E8">
      <w:pPr>
        <w:pStyle w:val="ListParagraph"/>
        <w:numPr>
          <w:ilvl w:val="0"/>
          <w:numId w:val="9"/>
        </w:numPr>
        <w:spacing w:after="160" w:line="259" w:lineRule="auto"/>
      </w:pPr>
      <w:r>
        <w:t>Mr. Greene then provided an overview of 1) how to use the Zoom platform and 2) the reason for and bounds of the regulations hearing.</w:t>
      </w:r>
    </w:p>
    <w:p w14:paraId="7F34ACF7" w14:textId="77777777" w:rsidR="00C343E8" w:rsidRDefault="00C343E8" w:rsidP="00C343E8">
      <w:pPr>
        <w:pStyle w:val="ListParagraph"/>
        <w:numPr>
          <w:ilvl w:val="0"/>
          <w:numId w:val="9"/>
        </w:numPr>
        <w:spacing w:after="160" w:line="259" w:lineRule="auto"/>
      </w:pPr>
      <w:r>
        <w:t>Mr. Greene then opened the floor to the five participants who requested an opportunity to provide remarks:</w:t>
      </w:r>
    </w:p>
    <w:p w14:paraId="22DC8CAC" w14:textId="77777777" w:rsidR="00C343E8" w:rsidRDefault="00C343E8" w:rsidP="00C343E8">
      <w:pPr>
        <w:pStyle w:val="ListParagraph"/>
        <w:numPr>
          <w:ilvl w:val="1"/>
          <w:numId w:val="9"/>
        </w:numPr>
        <w:spacing w:after="160" w:line="259" w:lineRule="auto"/>
      </w:pPr>
      <w:r>
        <w:t>Alex Dews (representing Green Building United)</w:t>
      </w:r>
    </w:p>
    <w:p w14:paraId="020D6F97" w14:textId="77777777" w:rsidR="00C343E8" w:rsidRDefault="00C343E8" w:rsidP="00C343E8">
      <w:pPr>
        <w:pStyle w:val="ListParagraph"/>
        <w:numPr>
          <w:ilvl w:val="2"/>
          <w:numId w:val="9"/>
        </w:numPr>
        <w:spacing w:after="160" w:line="259" w:lineRule="auto"/>
      </w:pPr>
      <w:r>
        <w:t>Mr. Dews expressed support for the Building Energy Performance Policy legislation and its ability to reduce emissions.</w:t>
      </w:r>
    </w:p>
    <w:p w14:paraId="587EA3CF" w14:textId="77777777" w:rsidR="00C343E8" w:rsidRDefault="00C343E8" w:rsidP="00C343E8">
      <w:pPr>
        <w:pStyle w:val="ListParagraph"/>
        <w:numPr>
          <w:ilvl w:val="2"/>
          <w:numId w:val="9"/>
        </w:numPr>
        <w:spacing w:after="160" w:line="259" w:lineRule="auto"/>
      </w:pPr>
      <w:r>
        <w:t>Mr. Dews recommended adding language to the ASHRAE audit exemption that would require buildings to verify implementation of the capital and operational measures listed in the audit. Mr. Dews also stated the need for clarifying when implementation of these measures needs to be completed to comply.</w:t>
      </w:r>
    </w:p>
    <w:p w14:paraId="0D5F1FA3" w14:textId="77777777" w:rsidR="00C343E8" w:rsidRDefault="00C343E8" w:rsidP="00C343E8">
      <w:pPr>
        <w:pStyle w:val="ListParagraph"/>
        <w:numPr>
          <w:ilvl w:val="2"/>
          <w:numId w:val="9"/>
        </w:numPr>
        <w:spacing w:after="160" w:line="259" w:lineRule="auto"/>
      </w:pPr>
      <w:r>
        <w:t>Mr. Dews recommended the removal of the “Renewable Energy Serving 100% of Electricity Load” exemption option for buildings. Mr. Dews also recommended that if the exemption option is retained, that it should also include an explicit measure of energy optimization (e.g., requiring a minimum energy use intensity)</w:t>
      </w:r>
    </w:p>
    <w:p w14:paraId="154D55C2" w14:textId="77777777" w:rsidR="00C343E8" w:rsidRDefault="00C343E8" w:rsidP="00C343E8">
      <w:pPr>
        <w:pStyle w:val="ListParagraph"/>
        <w:numPr>
          <w:ilvl w:val="2"/>
          <w:numId w:val="9"/>
        </w:numPr>
        <w:spacing w:after="160" w:line="259" w:lineRule="auto"/>
      </w:pPr>
      <w:r>
        <w:t>Mr. Dews recommended that language in the legislation be mirrored in the regulations, specifically:</w:t>
      </w:r>
    </w:p>
    <w:p w14:paraId="52DFA707" w14:textId="77777777" w:rsidR="00C343E8" w:rsidRDefault="00C343E8" w:rsidP="00C343E8">
      <w:pPr>
        <w:pStyle w:val="ListParagraph"/>
        <w:numPr>
          <w:ilvl w:val="3"/>
          <w:numId w:val="9"/>
        </w:numPr>
        <w:spacing w:after="160" w:line="259" w:lineRule="auto"/>
      </w:pPr>
      <w:r>
        <w:t>Language pertaining to requirements for “qualified tune-up specialists”</w:t>
      </w:r>
    </w:p>
    <w:p w14:paraId="6917902E" w14:textId="77777777" w:rsidR="00C343E8" w:rsidRDefault="00C343E8" w:rsidP="00C343E8">
      <w:pPr>
        <w:pStyle w:val="ListParagraph"/>
        <w:numPr>
          <w:ilvl w:val="3"/>
          <w:numId w:val="9"/>
        </w:numPr>
        <w:spacing w:after="160" w:line="259" w:lineRule="auto"/>
      </w:pPr>
      <w:r>
        <w:t>Language pertaining to the ASHRAE Level II Standard Audit exemption</w:t>
      </w:r>
    </w:p>
    <w:p w14:paraId="48033058" w14:textId="77777777" w:rsidR="00C343E8" w:rsidRDefault="00C343E8" w:rsidP="00C343E8">
      <w:pPr>
        <w:pStyle w:val="ListParagraph"/>
        <w:numPr>
          <w:ilvl w:val="2"/>
          <w:numId w:val="9"/>
        </w:numPr>
        <w:spacing w:after="160" w:line="259" w:lineRule="auto"/>
      </w:pPr>
      <w:r>
        <w:t>Mr. Dews recommended that the Office of Sustainability provide a six-month compliance grace period for the first cohort of buildings (currently required to comply by 9/30/2021)</w:t>
      </w:r>
    </w:p>
    <w:p w14:paraId="3D626E92" w14:textId="77777777" w:rsidR="00C343E8" w:rsidRDefault="00C343E8" w:rsidP="00C343E8">
      <w:pPr>
        <w:pStyle w:val="ListParagraph"/>
        <w:numPr>
          <w:ilvl w:val="1"/>
          <w:numId w:val="9"/>
        </w:numPr>
        <w:spacing w:after="160" w:line="259" w:lineRule="auto"/>
      </w:pPr>
      <w:r>
        <w:t>Richard McClure (representing BOMA)</w:t>
      </w:r>
    </w:p>
    <w:p w14:paraId="04389F46" w14:textId="77777777" w:rsidR="00C343E8" w:rsidRDefault="00C343E8" w:rsidP="00C343E8">
      <w:pPr>
        <w:pStyle w:val="ListParagraph"/>
        <w:numPr>
          <w:ilvl w:val="2"/>
          <w:numId w:val="9"/>
        </w:numPr>
        <w:spacing w:after="160" w:line="259" w:lineRule="auto"/>
      </w:pPr>
      <w:r>
        <w:t>Mr. McClure applauded the city’s energy conservation and sustainability efforts.</w:t>
      </w:r>
    </w:p>
    <w:p w14:paraId="0B42F7CE" w14:textId="77777777" w:rsidR="00C343E8" w:rsidRDefault="00C343E8" w:rsidP="00C343E8">
      <w:pPr>
        <w:pStyle w:val="ListParagraph"/>
        <w:numPr>
          <w:ilvl w:val="2"/>
          <w:numId w:val="9"/>
        </w:numPr>
        <w:spacing w:after="160" w:line="259" w:lineRule="auto"/>
      </w:pPr>
      <w:r>
        <w:t xml:space="preserve">Mr. McClure discussed changes to building occupancy and operations due to COVID-19 and asked how and if retuning works in these unique circumstances. Further, Mr. McClure discussed how these changes </w:t>
      </w:r>
      <w:proofErr w:type="gramStart"/>
      <w:r>
        <w:t>will</w:t>
      </w:r>
      <w:proofErr w:type="gramEnd"/>
      <w:r>
        <w:t xml:space="preserve"> affect ENERGY STAR and LEED that are both included as alternative pathways for compliance.</w:t>
      </w:r>
    </w:p>
    <w:p w14:paraId="2329563B" w14:textId="77777777" w:rsidR="00C343E8" w:rsidRDefault="00C343E8" w:rsidP="00C343E8">
      <w:pPr>
        <w:pStyle w:val="ListParagraph"/>
        <w:numPr>
          <w:ilvl w:val="2"/>
          <w:numId w:val="9"/>
        </w:numPr>
        <w:spacing w:after="160" w:line="259" w:lineRule="auto"/>
      </w:pPr>
      <w:r>
        <w:t xml:space="preserve">Mr. McClure recommends that the Office of Sustainability delay the effective dates of </w:t>
      </w:r>
      <w:proofErr w:type="gramStart"/>
      <w:r>
        <w:t>the for</w:t>
      </w:r>
      <w:proofErr w:type="gramEnd"/>
      <w:r>
        <w:t xml:space="preserve"> compliance by one year, if requested.</w:t>
      </w:r>
    </w:p>
    <w:p w14:paraId="03DDD859" w14:textId="77777777" w:rsidR="00C343E8" w:rsidRDefault="00C343E8" w:rsidP="00C343E8">
      <w:pPr>
        <w:pStyle w:val="ListParagraph"/>
        <w:numPr>
          <w:ilvl w:val="2"/>
          <w:numId w:val="9"/>
        </w:numPr>
        <w:spacing w:after="160" w:line="259" w:lineRule="auto"/>
      </w:pPr>
      <w:r>
        <w:lastRenderedPageBreak/>
        <w:t>Mr. McClure recommended truncating or simplifying building data requirements for those building pursuing exemption pathways.</w:t>
      </w:r>
    </w:p>
    <w:p w14:paraId="70C189AC" w14:textId="77777777" w:rsidR="00C343E8" w:rsidRDefault="00C343E8" w:rsidP="00C343E8">
      <w:pPr>
        <w:pStyle w:val="ListParagraph"/>
        <w:numPr>
          <w:ilvl w:val="2"/>
          <w:numId w:val="9"/>
        </w:numPr>
        <w:spacing w:after="160" w:line="259" w:lineRule="auto"/>
      </w:pPr>
      <w:r>
        <w:t>Mr. McClure recommended that the eligibility of tune-up specialists be expanded to include in-house staff, as long as the other qualifications are met.</w:t>
      </w:r>
    </w:p>
    <w:p w14:paraId="4BCB864B" w14:textId="77777777" w:rsidR="00C343E8" w:rsidRDefault="00C343E8" w:rsidP="00C343E8">
      <w:pPr>
        <w:pStyle w:val="ListParagraph"/>
        <w:numPr>
          <w:ilvl w:val="2"/>
          <w:numId w:val="9"/>
        </w:numPr>
        <w:spacing w:after="160" w:line="259" w:lineRule="auto"/>
      </w:pPr>
      <w:r>
        <w:t>Mr. McClure asked when the Office of Sustainability would provide the final report form.</w:t>
      </w:r>
    </w:p>
    <w:p w14:paraId="59EBB9FF" w14:textId="77777777" w:rsidR="00C343E8" w:rsidRDefault="00C343E8" w:rsidP="00C343E8">
      <w:pPr>
        <w:pStyle w:val="ListParagraph"/>
        <w:numPr>
          <w:ilvl w:val="1"/>
          <w:numId w:val="9"/>
        </w:numPr>
        <w:spacing w:after="160" w:line="259" w:lineRule="auto"/>
      </w:pPr>
      <w:r>
        <w:t>Don Haas (representing BOMA)</w:t>
      </w:r>
    </w:p>
    <w:p w14:paraId="434B41CE" w14:textId="77777777" w:rsidR="00C343E8" w:rsidRDefault="00C343E8" w:rsidP="00C343E8">
      <w:pPr>
        <w:pStyle w:val="ListParagraph"/>
        <w:numPr>
          <w:ilvl w:val="2"/>
          <w:numId w:val="9"/>
        </w:numPr>
        <w:spacing w:after="160" w:line="259" w:lineRule="auto"/>
      </w:pPr>
      <w:r>
        <w:t>Mr. Haas recommended reducing the documentation requirements for the active optimization exemption by only requiring one year of documents (spanning all seasons) as opposed to two years.</w:t>
      </w:r>
    </w:p>
    <w:p w14:paraId="39285154" w14:textId="77777777" w:rsidR="00C343E8" w:rsidRDefault="00C343E8" w:rsidP="00C343E8">
      <w:pPr>
        <w:pStyle w:val="ListParagraph"/>
        <w:numPr>
          <w:ilvl w:val="2"/>
          <w:numId w:val="9"/>
        </w:numPr>
        <w:spacing w:after="160" w:line="259" w:lineRule="auto"/>
      </w:pPr>
      <w:r>
        <w:t>Mr. Haas recommended accepting 2019 ENERGY STAR certification as an exemption option.</w:t>
      </w:r>
    </w:p>
    <w:p w14:paraId="5AC4E705" w14:textId="77777777" w:rsidR="00C343E8" w:rsidRDefault="00C343E8" w:rsidP="00C343E8">
      <w:pPr>
        <w:pStyle w:val="ListParagraph"/>
        <w:numPr>
          <w:ilvl w:val="2"/>
          <w:numId w:val="9"/>
        </w:numPr>
        <w:spacing w:after="160" w:line="259" w:lineRule="auto"/>
      </w:pPr>
      <w:r>
        <w:t>Mr. Haas</w:t>
      </w:r>
      <w:r w:rsidRPr="00085A72">
        <w:t xml:space="preserve"> </w:t>
      </w:r>
      <w:r>
        <w:t xml:space="preserve">recommended reducing the requirements for the active optimization to only include HVAC, domestic hot water, and lighting that is base building controlled only. </w:t>
      </w:r>
    </w:p>
    <w:p w14:paraId="4EDF8D0C" w14:textId="77777777" w:rsidR="00C343E8" w:rsidRDefault="00C343E8" w:rsidP="00C343E8">
      <w:pPr>
        <w:pStyle w:val="ListParagraph"/>
        <w:numPr>
          <w:ilvl w:val="2"/>
          <w:numId w:val="9"/>
        </w:numPr>
        <w:spacing w:after="160" w:line="259" w:lineRule="auto"/>
      </w:pPr>
      <w:r>
        <w:t>Mr. Haas recommended allowing buildings to apply for and receive a one-year extension to their compliance deadline due to COVID</w:t>
      </w:r>
    </w:p>
    <w:p w14:paraId="7132E437" w14:textId="77777777" w:rsidR="00C343E8" w:rsidRDefault="00C343E8" w:rsidP="00C343E8">
      <w:pPr>
        <w:pStyle w:val="ListParagraph"/>
        <w:numPr>
          <w:ilvl w:val="2"/>
          <w:numId w:val="9"/>
        </w:numPr>
        <w:spacing w:after="160" w:line="259" w:lineRule="auto"/>
      </w:pPr>
      <w:r>
        <w:t>Mr. Haas recommended reducing the documentation requirements for the active optimization exemption by only requiring one year of documents (spanning all seasons) as opposed to two years.</w:t>
      </w:r>
    </w:p>
    <w:p w14:paraId="486A1089" w14:textId="77777777" w:rsidR="00C343E8" w:rsidRDefault="00C343E8" w:rsidP="00C343E8">
      <w:pPr>
        <w:pStyle w:val="ListParagraph"/>
        <w:numPr>
          <w:ilvl w:val="2"/>
          <w:numId w:val="9"/>
        </w:numPr>
        <w:spacing w:after="160" w:line="259" w:lineRule="auto"/>
      </w:pPr>
      <w:r>
        <w:t>Mr. Haas recommended allowing for extensions in deadlines to complete capital projects that arise due to the pursuit of the ASHRAE Level II Audit exemption.</w:t>
      </w:r>
    </w:p>
    <w:p w14:paraId="280929AB" w14:textId="77777777" w:rsidR="00C343E8" w:rsidRDefault="00C343E8" w:rsidP="00C343E8">
      <w:pPr>
        <w:pStyle w:val="ListParagraph"/>
        <w:numPr>
          <w:ilvl w:val="2"/>
          <w:numId w:val="9"/>
        </w:numPr>
        <w:spacing w:after="160" w:line="259" w:lineRule="auto"/>
      </w:pPr>
      <w:r>
        <w:t>Mr. Haas recommended expanding the renewable energy pathway to give credit for all green power offsets.</w:t>
      </w:r>
    </w:p>
    <w:p w14:paraId="02904D0E" w14:textId="77777777" w:rsidR="00C343E8" w:rsidRDefault="00C343E8" w:rsidP="00C343E8">
      <w:pPr>
        <w:pStyle w:val="ListParagraph"/>
        <w:numPr>
          <w:ilvl w:val="2"/>
          <w:numId w:val="9"/>
        </w:numPr>
        <w:spacing w:after="160" w:line="259" w:lineRule="auto"/>
      </w:pPr>
      <w:r>
        <w:t>Mr. Haas recommended reducing the LEED exemption threshold from Gold to Silver.</w:t>
      </w:r>
    </w:p>
    <w:p w14:paraId="74E8D3F2" w14:textId="77777777" w:rsidR="00C343E8" w:rsidRDefault="00C343E8" w:rsidP="00C343E8">
      <w:pPr>
        <w:pStyle w:val="ListParagraph"/>
        <w:numPr>
          <w:ilvl w:val="2"/>
          <w:numId w:val="9"/>
        </w:numPr>
        <w:spacing w:after="160" w:line="259" w:lineRule="auto"/>
      </w:pPr>
      <w:r>
        <w:t>Mr. Haas expressed that this policy will likely be more difficult for smaller buildings and recommended finding potential alternative pathways for these buildings.</w:t>
      </w:r>
    </w:p>
    <w:p w14:paraId="2317DE29" w14:textId="77777777" w:rsidR="00C343E8" w:rsidRDefault="00C343E8" w:rsidP="00C343E8">
      <w:pPr>
        <w:pStyle w:val="ListParagraph"/>
        <w:numPr>
          <w:ilvl w:val="1"/>
          <w:numId w:val="9"/>
        </w:numPr>
        <w:spacing w:after="160" w:line="259" w:lineRule="auto"/>
      </w:pPr>
      <w:r>
        <w:t>Brian Smiley (representing AIA Philadelphia)</w:t>
      </w:r>
    </w:p>
    <w:p w14:paraId="65B27D05" w14:textId="77777777" w:rsidR="00C343E8" w:rsidRDefault="00C343E8" w:rsidP="00C343E8">
      <w:pPr>
        <w:pStyle w:val="ListParagraph"/>
        <w:numPr>
          <w:ilvl w:val="2"/>
          <w:numId w:val="9"/>
        </w:numPr>
        <w:spacing w:after="160" w:line="259" w:lineRule="auto"/>
      </w:pPr>
      <w:r>
        <w:t>Mr. Smiley generally endorsed the Building Energy Performance Policy legislation and regulations, as well as its ability to reduce emissions.</w:t>
      </w:r>
    </w:p>
    <w:p w14:paraId="0B731684" w14:textId="77777777" w:rsidR="00C343E8" w:rsidRDefault="00C343E8" w:rsidP="00C343E8">
      <w:pPr>
        <w:pStyle w:val="ListParagraph"/>
        <w:numPr>
          <w:ilvl w:val="2"/>
          <w:numId w:val="9"/>
        </w:numPr>
        <w:spacing w:after="160" w:line="259" w:lineRule="auto"/>
      </w:pPr>
      <w:r>
        <w:t>Mr. Smiley recommended that the Office of Sustainability provide a six-month compliance grace period for the first cohort of buildings (currently required to comply by 9/30/2021)</w:t>
      </w:r>
    </w:p>
    <w:p w14:paraId="5933766E" w14:textId="77777777" w:rsidR="00C343E8" w:rsidRDefault="00C343E8" w:rsidP="00C343E8">
      <w:pPr>
        <w:pStyle w:val="ListParagraph"/>
        <w:numPr>
          <w:ilvl w:val="2"/>
          <w:numId w:val="9"/>
        </w:numPr>
        <w:spacing w:after="160" w:line="259" w:lineRule="auto"/>
      </w:pPr>
      <w:r>
        <w:t>Mr. Smiley recommended that language in the legislation be mirrored in the regulations, specifically:</w:t>
      </w:r>
    </w:p>
    <w:p w14:paraId="265347CF" w14:textId="77777777" w:rsidR="00C343E8" w:rsidRDefault="00C343E8" w:rsidP="00C343E8">
      <w:pPr>
        <w:pStyle w:val="ListParagraph"/>
        <w:numPr>
          <w:ilvl w:val="3"/>
          <w:numId w:val="9"/>
        </w:numPr>
        <w:spacing w:after="160" w:line="259" w:lineRule="auto"/>
      </w:pPr>
      <w:r>
        <w:t>Language pertaining to requirements for “qualified tune-up specialists”</w:t>
      </w:r>
    </w:p>
    <w:p w14:paraId="63F68E9D" w14:textId="77777777" w:rsidR="00C343E8" w:rsidRDefault="00C343E8" w:rsidP="00C343E8">
      <w:pPr>
        <w:pStyle w:val="ListParagraph"/>
        <w:numPr>
          <w:ilvl w:val="3"/>
          <w:numId w:val="9"/>
        </w:numPr>
        <w:spacing w:after="160" w:line="259" w:lineRule="auto"/>
      </w:pPr>
      <w:r>
        <w:t>Language pertaining to the ASHRAE Level II Standard Audit exemption</w:t>
      </w:r>
    </w:p>
    <w:p w14:paraId="04CA02A4" w14:textId="77777777" w:rsidR="00C343E8" w:rsidRDefault="00C343E8" w:rsidP="00C343E8">
      <w:pPr>
        <w:pStyle w:val="ListParagraph"/>
        <w:numPr>
          <w:ilvl w:val="2"/>
          <w:numId w:val="9"/>
        </w:numPr>
        <w:spacing w:after="160" w:line="259" w:lineRule="auto"/>
      </w:pPr>
      <w:r>
        <w:t>Mr. Smiley recommended that language be included for the ASHRAE Level II Standard Audit exemption that provides clarity on the timeline for implementation of capital and operational measures, and that a grace period for implementation be provided to the first compliance cohort of buildings, if they choose to pursue this exemption.</w:t>
      </w:r>
    </w:p>
    <w:p w14:paraId="54D40CBE" w14:textId="77777777" w:rsidR="00C343E8" w:rsidRDefault="00C343E8" w:rsidP="00C343E8">
      <w:pPr>
        <w:pStyle w:val="ListParagraph"/>
        <w:numPr>
          <w:ilvl w:val="2"/>
          <w:numId w:val="9"/>
        </w:numPr>
        <w:spacing w:after="160" w:line="259" w:lineRule="auto"/>
      </w:pPr>
      <w:r>
        <w:t>Mr. Smiley recommended the removal of the “Renewable Energy Serving 100% of Electricity Load” exemption option for buildings.</w:t>
      </w:r>
    </w:p>
    <w:p w14:paraId="65F9B395" w14:textId="77777777" w:rsidR="00C343E8" w:rsidRDefault="00C343E8" w:rsidP="00C343E8">
      <w:pPr>
        <w:pStyle w:val="ListParagraph"/>
        <w:numPr>
          <w:ilvl w:val="1"/>
          <w:numId w:val="9"/>
        </w:numPr>
        <w:spacing w:after="160" w:line="259" w:lineRule="auto"/>
      </w:pPr>
      <w:r>
        <w:t xml:space="preserve">Joyce Lee (representing </w:t>
      </w:r>
      <w:proofErr w:type="spellStart"/>
      <w:r w:rsidRPr="00476454">
        <w:t>IndigoJLD</w:t>
      </w:r>
      <w:proofErr w:type="spellEnd"/>
      <w:r>
        <w:t>)</w:t>
      </w:r>
    </w:p>
    <w:p w14:paraId="376B3DCF" w14:textId="77777777" w:rsidR="00C343E8" w:rsidRDefault="00C343E8" w:rsidP="00C343E8">
      <w:pPr>
        <w:pStyle w:val="ListParagraph"/>
        <w:numPr>
          <w:ilvl w:val="2"/>
          <w:numId w:val="9"/>
        </w:numPr>
        <w:spacing w:after="160" w:line="259" w:lineRule="auto"/>
      </w:pPr>
      <w:r>
        <w:t>Ms. Lee supported the tune-up policy but stressed the need to balance indoor air quality and energy efficiency in light of COVID-19. Ms. Lee stated that building assessments related to health should be complementary to the tune-up efforts.</w:t>
      </w:r>
    </w:p>
    <w:p w14:paraId="282F1082" w14:textId="77777777" w:rsidR="00C343E8" w:rsidRDefault="00C343E8" w:rsidP="00C343E8">
      <w:pPr>
        <w:pStyle w:val="ListParagraph"/>
        <w:numPr>
          <w:ilvl w:val="2"/>
          <w:numId w:val="9"/>
        </w:numPr>
        <w:spacing w:after="160" w:line="259" w:lineRule="auto"/>
      </w:pPr>
      <w:r>
        <w:t>Ms. Lee provided feedback on the fines and penalties related to the tune-up legislation and regulations. Ms. Lee recommended summing fines across a certain period (e.g. a month or quarter) and billing noncompliant buildings on this basis, as opposed to sending daily fines.</w:t>
      </w:r>
    </w:p>
    <w:p w14:paraId="30990AB1" w14:textId="77777777" w:rsidR="00C343E8" w:rsidRDefault="00C343E8" w:rsidP="00C343E8">
      <w:pPr>
        <w:pStyle w:val="ListParagraph"/>
        <w:numPr>
          <w:ilvl w:val="2"/>
          <w:numId w:val="9"/>
        </w:numPr>
        <w:spacing w:after="160" w:line="259" w:lineRule="auto"/>
      </w:pPr>
      <w:r>
        <w:t>Ms. Lee also made remarks about the energy performance of museums and asked the Office of Sustainability to support their Energy Start certification.</w:t>
      </w:r>
    </w:p>
    <w:p w14:paraId="7A3BFC5E" w14:textId="77777777" w:rsidR="00C343E8" w:rsidRDefault="00C343E8" w:rsidP="00C343E8">
      <w:pPr>
        <w:pStyle w:val="ListParagraph"/>
        <w:numPr>
          <w:ilvl w:val="0"/>
          <w:numId w:val="9"/>
        </w:numPr>
        <w:spacing w:after="160" w:line="259" w:lineRule="auto"/>
      </w:pPr>
      <w:r>
        <w:t>After the five participants provided remarks, Mr. Greene asked whether any other participants had remarks.</w:t>
      </w:r>
    </w:p>
    <w:p w14:paraId="6A4D9AB5" w14:textId="77777777" w:rsidR="00C343E8" w:rsidRDefault="00C343E8" w:rsidP="00C343E8">
      <w:pPr>
        <w:pStyle w:val="ListParagraph"/>
        <w:numPr>
          <w:ilvl w:val="0"/>
          <w:numId w:val="9"/>
        </w:numPr>
        <w:spacing w:after="160" w:line="259" w:lineRule="auto"/>
      </w:pPr>
      <w:r>
        <w:t>No participants requested an opportunity to speak so Mr. Greene discussed next steps following the hearing, including:</w:t>
      </w:r>
    </w:p>
    <w:p w14:paraId="3E34F5A2" w14:textId="77777777" w:rsidR="00C343E8" w:rsidRDefault="00C343E8" w:rsidP="00C343E8">
      <w:pPr>
        <w:pStyle w:val="ListParagraph"/>
        <w:numPr>
          <w:ilvl w:val="1"/>
          <w:numId w:val="9"/>
        </w:numPr>
        <w:spacing w:after="160" w:line="259" w:lineRule="auto"/>
      </w:pPr>
      <w:r>
        <w:t>The Office of Sustainability will consider feedback provided both during the hearing and submitted via email.</w:t>
      </w:r>
    </w:p>
    <w:p w14:paraId="10C02690" w14:textId="77777777" w:rsidR="00C343E8" w:rsidRDefault="00C343E8" w:rsidP="00C343E8">
      <w:pPr>
        <w:pStyle w:val="ListParagraph"/>
        <w:numPr>
          <w:ilvl w:val="1"/>
          <w:numId w:val="9"/>
        </w:numPr>
        <w:spacing w:after="160" w:line="259" w:lineRule="auto"/>
      </w:pPr>
      <w:r>
        <w:t>If changes to the regulations are made, a tracked change version of regulations will be released.</w:t>
      </w:r>
    </w:p>
    <w:p w14:paraId="36942C91" w14:textId="77777777" w:rsidR="00C343E8" w:rsidRDefault="00C343E8" w:rsidP="00C343E8">
      <w:pPr>
        <w:pStyle w:val="ListParagraph"/>
        <w:numPr>
          <w:ilvl w:val="1"/>
          <w:numId w:val="9"/>
        </w:numPr>
        <w:spacing w:after="160" w:line="259" w:lineRule="auto"/>
      </w:pPr>
      <w:r>
        <w:t>New regulations will become law ten days after submission of the updated regulations to the Records Department.</w:t>
      </w:r>
    </w:p>
    <w:p w14:paraId="6D7E90BD" w14:textId="77777777" w:rsidR="00C343E8" w:rsidRDefault="00C343E8" w:rsidP="00C343E8">
      <w:pPr>
        <w:pStyle w:val="ListParagraph"/>
        <w:numPr>
          <w:ilvl w:val="1"/>
          <w:numId w:val="9"/>
        </w:numPr>
        <w:spacing w:after="160" w:line="259" w:lineRule="auto"/>
      </w:pPr>
      <w:r>
        <w:t xml:space="preserve">Participants could share any final feedback to Mr. Greene via email. </w:t>
      </w:r>
    </w:p>
    <w:p w14:paraId="2B83893D" w14:textId="77777777" w:rsidR="00C343E8" w:rsidRDefault="00C343E8" w:rsidP="00C343E8">
      <w:pPr>
        <w:pStyle w:val="ListParagraph"/>
        <w:numPr>
          <w:ilvl w:val="0"/>
          <w:numId w:val="9"/>
        </w:numPr>
        <w:spacing w:after="160" w:line="259" w:lineRule="auto"/>
      </w:pPr>
      <w:r>
        <w:t xml:space="preserve">Mr. Greene offered participants a final opportunity to provide testimony, but no participants </w:t>
      </w:r>
    </w:p>
    <w:p w14:paraId="7034B642" w14:textId="77777777" w:rsidR="00C343E8" w:rsidRPr="00FE209D" w:rsidRDefault="00C343E8" w:rsidP="00C343E8">
      <w:pPr>
        <w:pStyle w:val="ListParagraph"/>
        <w:numPr>
          <w:ilvl w:val="0"/>
          <w:numId w:val="9"/>
        </w:numPr>
        <w:spacing w:after="160" w:line="259" w:lineRule="auto"/>
      </w:pPr>
      <w:r>
        <w:t>Mr. Greene ended the hearing at 4:07pm</w:t>
      </w:r>
    </w:p>
    <w:p w14:paraId="709A8775" w14:textId="3140FEA9" w:rsidR="00C343E8" w:rsidRDefault="00C343E8">
      <w:pPr>
        <w:rPr>
          <w:rFonts w:ascii="Times New Roman" w:hAnsi="Times New Roman" w:cs="Times New Roman"/>
          <w:sz w:val="36"/>
          <w:szCs w:val="36"/>
        </w:rPr>
      </w:pPr>
      <w:r>
        <w:rPr>
          <w:rFonts w:ascii="Times New Roman" w:hAnsi="Times New Roman" w:cs="Times New Roman"/>
          <w:sz w:val="36"/>
          <w:szCs w:val="36"/>
        </w:rPr>
        <w:br w:type="page"/>
      </w:r>
    </w:p>
    <w:p w14:paraId="25765677" w14:textId="77777777" w:rsidR="00C343E8" w:rsidRDefault="00C343E8" w:rsidP="002A6CDA">
      <w:pPr>
        <w:jc w:val="center"/>
        <w:rPr>
          <w:rFonts w:ascii="Times New Roman" w:hAnsi="Times New Roman" w:cs="Times New Roman"/>
          <w:sz w:val="36"/>
          <w:szCs w:val="36"/>
        </w:rPr>
      </w:pPr>
    </w:p>
    <w:p w14:paraId="316244F7" w14:textId="2149F43A" w:rsidR="002552B9" w:rsidRPr="00997CE0" w:rsidRDefault="002552B9" w:rsidP="002A6CDA">
      <w:pPr>
        <w:jc w:val="center"/>
        <w:rPr>
          <w:rFonts w:ascii="Times New Roman" w:hAnsi="Times New Roman" w:cs="Times New Roman"/>
          <w:sz w:val="36"/>
          <w:szCs w:val="36"/>
        </w:rPr>
      </w:pPr>
      <w:r w:rsidRPr="00997CE0">
        <w:rPr>
          <w:rFonts w:ascii="Times New Roman" w:hAnsi="Times New Roman" w:cs="Times New Roman"/>
          <w:sz w:val="36"/>
          <w:szCs w:val="36"/>
        </w:rPr>
        <w:t>City of Philadelphia Law Department</w:t>
      </w:r>
    </w:p>
    <w:p w14:paraId="21FC74A6" w14:textId="77777777" w:rsidR="002552B9" w:rsidRPr="00997CE0" w:rsidRDefault="002552B9" w:rsidP="002552B9">
      <w:pPr>
        <w:jc w:val="center"/>
        <w:rPr>
          <w:rFonts w:ascii="Times New Roman" w:hAnsi="Times New Roman" w:cs="Times New Roman"/>
          <w:sz w:val="36"/>
          <w:szCs w:val="36"/>
        </w:rPr>
      </w:pPr>
      <w:r w:rsidRPr="00997CE0">
        <w:rPr>
          <w:rFonts w:ascii="Times New Roman" w:hAnsi="Times New Roman" w:cs="Times New Roman"/>
          <w:sz w:val="36"/>
          <w:szCs w:val="36"/>
        </w:rPr>
        <w:t>M e m o r a n d u m</w:t>
      </w:r>
    </w:p>
    <w:p w14:paraId="6D13D1A1" w14:textId="77777777" w:rsidR="002552B9" w:rsidRPr="00580717" w:rsidRDefault="002552B9" w:rsidP="002552B9">
      <w:pPr>
        <w:jc w:val="center"/>
        <w:rPr>
          <w:rFonts w:ascii="Times New Roman" w:hAnsi="Times New Roman" w:cs="Times New Roman"/>
          <w:sz w:val="24"/>
          <w:szCs w:val="24"/>
        </w:rPr>
      </w:pPr>
    </w:p>
    <w:p w14:paraId="2C5DF8B6" w14:textId="7975E8B4" w:rsidR="002552B9" w:rsidRDefault="002552B9" w:rsidP="002552B9">
      <w:pPr>
        <w:rPr>
          <w:rFonts w:ascii="Times New Roman" w:hAnsi="Times New Roman" w:cs="Times New Roman"/>
          <w:sz w:val="24"/>
          <w:szCs w:val="24"/>
        </w:rPr>
      </w:pPr>
      <w:r w:rsidRPr="00580717">
        <w:rPr>
          <w:rFonts w:ascii="Times New Roman" w:hAnsi="Times New Roman" w:cs="Times New Roman"/>
          <w:sz w:val="24"/>
          <w:szCs w:val="24"/>
        </w:rPr>
        <w:tab/>
      </w:r>
      <w:r w:rsidRPr="00580717">
        <w:rPr>
          <w:rFonts w:ascii="Times New Roman" w:hAnsi="Times New Roman" w:cs="Times New Roman"/>
          <w:b/>
          <w:sz w:val="24"/>
          <w:szCs w:val="24"/>
        </w:rPr>
        <w:t>TO:</w:t>
      </w:r>
      <w:r w:rsidRPr="00580717">
        <w:rPr>
          <w:rFonts w:ascii="Times New Roman" w:hAnsi="Times New Roman" w:cs="Times New Roman"/>
          <w:sz w:val="24"/>
          <w:szCs w:val="24"/>
        </w:rPr>
        <w:tab/>
      </w:r>
      <w:r w:rsidRPr="00580717">
        <w:rPr>
          <w:rFonts w:ascii="Times New Roman" w:hAnsi="Times New Roman" w:cs="Times New Roman"/>
          <w:sz w:val="24"/>
          <w:szCs w:val="24"/>
        </w:rPr>
        <w:tab/>
      </w:r>
      <w:proofErr w:type="spellStart"/>
      <w:r w:rsidR="00B775F8">
        <w:rPr>
          <w:rFonts w:ascii="Times New Roman" w:hAnsi="Times New Roman" w:cs="Times New Roman"/>
          <w:sz w:val="24"/>
          <w:szCs w:val="24"/>
        </w:rPr>
        <w:t>Tumar</w:t>
      </w:r>
      <w:proofErr w:type="spellEnd"/>
      <w:r w:rsidR="00B775F8">
        <w:rPr>
          <w:rFonts w:ascii="Times New Roman" w:hAnsi="Times New Roman" w:cs="Times New Roman"/>
          <w:sz w:val="24"/>
          <w:szCs w:val="24"/>
        </w:rPr>
        <w:t xml:space="preserve"> Alexander</w:t>
      </w:r>
      <w:r>
        <w:rPr>
          <w:rFonts w:ascii="Times New Roman" w:hAnsi="Times New Roman" w:cs="Times New Roman"/>
          <w:sz w:val="24"/>
          <w:szCs w:val="24"/>
        </w:rPr>
        <w:t>, Managing Director</w:t>
      </w:r>
    </w:p>
    <w:p w14:paraId="2C1B3543" w14:textId="77777777" w:rsidR="002552B9" w:rsidRDefault="002552B9" w:rsidP="002552B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James P. Leonard, Commissioner of Records</w:t>
      </w:r>
    </w:p>
    <w:p w14:paraId="54554B44" w14:textId="77777777" w:rsidR="002552B9" w:rsidRPr="00580717" w:rsidRDefault="002552B9" w:rsidP="002552B9">
      <w:pPr>
        <w:rPr>
          <w:rFonts w:ascii="Times New Roman" w:hAnsi="Times New Roman" w:cs="Times New Roman"/>
          <w:sz w:val="24"/>
          <w:szCs w:val="24"/>
        </w:rPr>
      </w:pPr>
    </w:p>
    <w:p w14:paraId="2AD70855" w14:textId="77777777" w:rsidR="002552B9" w:rsidRDefault="002552B9" w:rsidP="002552B9">
      <w:pPr>
        <w:ind w:firstLine="720"/>
        <w:rPr>
          <w:rFonts w:ascii="Times New Roman" w:hAnsi="Times New Roman" w:cs="Times New Roman"/>
          <w:sz w:val="24"/>
          <w:szCs w:val="24"/>
        </w:rPr>
      </w:pPr>
      <w:r w:rsidRPr="00580717">
        <w:rPr>
          <w:rFonts w:ascii="Times New Roman" w:hAnsi="Times New Roman" w:cs="Times New Roman"/>
          <w:b/>
          <w:sz w:val="24"/>
          <w:szCs w:val="24"/>
        </w:rPr>
        <w:t>FROM:</w:t>
      </w:r>
      <w:r w:rsidRPr="00580717">
        <w:rPr>
          <w:rFonts w:ascii="Times New Roman" w:hAnsi="Times New Roman" w:cs="Times New Roman"/>
          <w:sz w:val="24"/>
          <w:szCs w:val="24"/>
        </w:rPr>
        <w:tab/>
      </w:r>
      <w:r>
        <w:rPr>
          <w:rFonts w:ascii="Times New Roman" w:hAnsi="Times New Roman" w:cs="Times New Roman"/>
          <w:sz w:val="24"/>
          <w:szCs w:val="24"/>
        </w:rPr>
        <w:t>James C. Kellett</w:t>
      </w:r>
    </w:p>
    <w:p w14:paraId="67355531" w14:textId="77777777" w:rsidR="002552B9" w:rsidRPr="00580717" w:rsidRDefault="002552B9" w:rsidP="002552B9">
      <w:pPr>
        <w:ind w:firstLine="720"/>
        <w:rPr>
          <w:rFonts w:ascii="Times New Roman" w:hAnsi="Times New Roman" w:cs="Times New Roman"/>
          <w:sz w:val="24"/>
          <w:szCs w:val="24"/>
        </w:rPr>
      </w:pPr>
    </w:p>
    <w:p w14:paraId="1667792D" w14:textId="2DE61B6D" w:rsidR="002552B9" w:rsidRDefault="002552B9" w:rsidP="002552B9">
      <w:pPr>
        <w:rPr>
          <w:rFonts w:ascii="Times New Roman" w:hAnsi="Times New Roman" w:cs="Times New Roman"/>
          <w:noProof/>
          <w:sz w:val="24"/>
          <w:szCs w:val="24"/>
        </w:rPr>
      </w:pPr>
      <w:r w:rsidRPr="00580717">
        <w:rPr>
          <w:rFonts w:ascii="Times New Roman" w:hAnsi="Times New Roman" w:cs="Times New Roman"/>
          <w:sz w:val="24"/>
          <w:szCs w:val="24"/>
        </w:rPr>
        <w:tab/>
      </w:r>
      <w:r w:rsidRPr="00580717">
        <w:rPr>
          <w:rFonts w:ascii="Times New Roman" w:hAnsi="Times New Roman" w:cs="Times New Roman"/>
          <w:b/>
          <w:sz w:val="24"/>
          <w:szCs w:val="24"/>
        </w:rPr>
        <w:t>DATE:</w:t>
      </w:r>
      <w:r w:rsidRPr="00580717">
        <w:rPr>
          <w:rFonts w:ascii="Times New Roman" w:hAnsi="Times New Roman" w:cs="Times New Roman"/>
          <w:sz w:val="24"/>
          <w:szCs w:val="24"/>
        </w:rPr>
        <w:tab/>
      </w:r>
      <w:r w:rsidRPr="00580717">
        <w:rPr>
          <w:rFonts w:ascii="Times New Roman" w:hAnsi="Times New Roman" w:cs="Times New Roman"/>
          <w:sz w:val="24"/>
          <w:szCs w:val="24"/>
        </w:rPr>
        <w:fldChar w:fldCharType="begin"/>
      </w:r>
      <w:r w:rsidRPr="00580717">
        <w:rPr>
          <w:rFonts w:ascii="Times New Roman" w:hAnsi="Times New Roman" w:cs="Times New Roman"/>
          <w:sz w:val="24"/>
          <w:szCs w:val="24"/>
        </w:rPr>
        <w:instrText xml:space="preserve"> DATE \@ "MMMM d, yyyy" </w:instrText>
      </w:r>
      <w:r w:rsidRPr="00580717">
        <w:rPr>
          <w:rFonts w:ascii="Times New Roman" w:hAnsi="Times New Roman" w:cs="Times New Roman"/>
          <w:sz w:val="24"/>
          <w:szCs w:val="24"/>
        </w:rPr>
        <w:fldChar w:fldCharType="separate"/>
      </w:r>
      <w:r w:rsidR="00F03830">
        <w:rPr>
          <w:rFonts w:ascii="Times New Roman" w:hAnsi="Times New Roman" w:cs="Times New Roman"/>
          <w:noProof/>
          <w:sz w:val="24"/>
          <w:szCs w:val="24"/>
        </w:rPr>
        <w:t>October 13, 2020</w:t>
      </w:r>
      <w:r w:rsidRPr="00580717">
        <w:rPr>
          <w:rFonts w:ascii="Times New Roman" w:hAnsi="Times New Roman" w:cs="Times New Roman"/>
          <w:noProof/>
          <w:sz w:val="24"/>
          <w:szCs w:val="24"/>
        </w:rPr>
        <w:fldChar w:fldCharType="end"/>
      </w:r>
    </w:p>
    <w:p w14:paraId="04122719" w14:textId="77777777" w:rsidR="002552B9" w:rsidRPr="00580717" w:rsidRDefault="002552B9" w:rsidP="002552B9">
      <w:pPr>
        <w:rPr>
          <w:rFonts w:ascii="Times New Roman" w:hAnsi="Times New Roman" w:cs="Times New Roman"/>
          <w:sz w:val="24"/>
          <w:szCs w:val="24"/>
        </w:rPr>
      </w:pPr>
    </w:p>
    <w:p w14:paraId="1AA07417" w14:textId="0A7CEE2D" w:rsidR="002552B9" w:rsidRPr="00580717" w:rsidRDefault="002552B9" w:rsidP="002552B9">
      <w:pPr>
        <w:ind w:left="1800" w:hanging="1080"/>
        <w:rPr>
          <w:rFonts w:ascii="Times New Roman" w:hAnsi="Times New Roman" w:cs="Times New Roman"/>
          <w:sz w:val="24"/>
          <w:szCs w:val="24"/>
        </w:rPr>
      </w:pPr>
      <w:r w:rsidRPr="00580717">
        <w:rPr>
          <w:rFonts w:ascii="Times New Roman" w:hAnsi="Times New Roman" w:cs="Times New Roman"/>
          <w:b/>
          <w:sz w:val="24"/>
          <w:szCs w:val="24"/>
        </w:rPr>
        <w:t>SUBJECT:</w:t>
      </w:r>
      <w:r w:rsidRPr="00580717">
        <w:rPr>
          <w:rFonts w:ascii="Times New Roman" w:hAnsi="Times New Roman" w:cs="Times New Roman"/>
          <w:sz w:val="24"/>
          <w:szCs w:val="24"/>
        </w:rPr>
        <w:tab/>
      </w:r>
      <w:r w:rsidRPr="00997CE0">
        <w:rPr>
          <w:rFonts w:ascii="Times New Roman" w:hAnsi="Times New Roman" w:cs="Times New Roman"/>
          <w:b/>
          <w:bCs/>
          <w:sz w:val="24"/>
          <w:szCs w:val="24"/>
        </w:rPr>
        <w:t xml:space="preserve">PHILADELPHIA </w:t>
      </w:r>
      <w:r w:rsidR="00C04622">
        <w:rPr>
          <w:rFonts w:ascii="Times New Roman" w:hAnsi="Times New Roman" w:cs="Times New Roman"/>
          <w:b/>
          <w:bCs/>
          <w:sz w:val="24"/>
          <w:szCs w:val="24"/>
        </w:rPr>
        <w:t>OFFICE OF SUSTAINABILITY</w:t>
      </w:r>
      <w:r w:rsidRPr="00997CE0">
        <w:rPr>
          <w:rFonts w:ascii="Times New Roman" w:hAnsi="Times New Roman" w:cs="Times New Roman"/>
          <w:b/>
          <w:bCs/>
          <w:sz w:val="24"/>
          <w:szCs w:val="24"/>
        </w:rPr>
        <w:t xml:space="preserve"> REGULATION</w:t>
      </w:r>
      <w:r w:rsidR="00C04622">
        <w:rPr>
          <w:rFonts w:ascii="Times New Roman" w:hAnsi="Times New Roman" w:cs="Times New Roman"/>
          <w:b/>
          <w:bCs/>
          <w:sz w:val="24"/>
          <w:szCs w:val="24"/>
        </w:rPr>
        <w:t>S</w:t>
      </w:r>
      <w:r w:rsidRPr="00997CE0">
        <w:rPr>
          <w:rFonts w:ascii="Times New Roman" w:hAnsi="Times New Roman" w:cs="Times New Roman"/>
          <w:b/>
          <w:bCs/>
          <w:sz w:val="24"/>
          <w:szCs w:val="24"/>
        </w:rPr>
        <w:t xml:space="preserve"> </w:t>
      </w:r>
      <w:r w:rsidR="00C04622">
        <w:rPr>
          <w:rFonts w:ascii="Times New Roman" w:hAnsi="Times New Roman" w:cs="Times New Roman"/>
          <w:b/>
          <w:bCs/>
          <w:sz w:val="24"/>
          <w:szCs w:val="24"/>
        </w:rPr>
        <w:t>GOVERNING BUILDING ENERGY PERFORMANCE</w:t>
      </w:r>
    </w:p>
    <w:p w14:paraId="18924770" w14:textId="77777777" w:rsidR="002552B9" w:rsidRPr="00580717" w:rsidRDefault="002552B9" w:rsidP="002552B9">
      <w:pPr>
        <w:pBdr>
          <w:bottom w:val="double" w:sz="4" w:space="0" w:color="auto"/>
        </w:pBdr>
        <w:rPr>
          <w:rFonts w:ascii="Times New Roman" w:hAnsi="Times New Roman" w:cs="Times New Roman"/>
          <w:sz w:val="24"/>
          <w:szCs w:val="24"/>
        </w:rPr>
      </w:pPr>
    </w:p>
    <w:p w14:paraId="3ECB4631" w14:textId="04B49020" w:rsidR="002552B9" w:rsidRDefault="002552B9" w:rsidP="002552B9">
      <w:pPr>
        <w:rPr>
          <w:rFonts w:ascii="Times New Roman" w:hAnsi="Times New Roman" w:cs="Times New Roman"/>
          <w:sz w:val="24"/>
          <w:szCs w:val="24"/>
        </w:rPr>
      </w:pPr>
      <w:r>
        <w:rPr>
          <w:rFonts w:ascii="Times New Roman" w:hAnsi="Times New Roman" w:cs="Times New Roman"/>
          <w:sz w:val="24"/>
          <w:szCs w:val="24"/>
        </w:rPr>
        <w:t xml:space="preserve">I have reviewed the </w:t>
      </w:r>
      <w:r w:rsidR="00F4179A">
        <w:rPr>
          <w:rFonts w:ascii="Times New Roman" w:hAnsi="Times New Roman" w:cs="Times New Roman"/>
          <w:sz w:val="24"/>
          <w:szCs w:val="24"/>
        </w:rPr>
        <w:t>p</w:t>
      </w:r>
      <w:r>
        <w:rPr>
          <w:rFonts w:ascii="Times New Roman" w:hAnsi="Times New Roman" w:cs="Times New Roman"/>
          <w:sz w:val="24"/>
          <w:szCs w:val="24"/>
        </w:rPr>
        <w:t xml:space="preserve">roposed </w:t>
      </w:r>
      <w:r w:rsidR="00F4179A">
        <w:rPr>
          <w:rFonts w:ascii="Times New Roman" w:hAnsi="Times New Roman" w:cs="Times New Roman"/>
          <w:sz w:val="24"/>
          <w:szCs w:val="24"/>
        </w:rPr>
        <w:t xml:space="preserve">AMENDED </w:t>
      </w:r>
      <w:r w:rsidRPr="00454A16">
        <w:rPr>
          <w:rFonts w:ascii="Times New Roman" w:hAnsi="Times New Roman" w:cs="Times New Roman"/>
          <w:bCs/>
          <w:sz w:val="24"/>
          <w:szCs w:val="24"/>
        </w:rPr>
        <w:t xml:space="preserve">PHILADELPHIA </w:t>
      </w:r>
      <w:r w:rsidR="00C04622">
        <w:rPr>
          <w:rFonts w:ascii="Times New Roman" w:hAnsi="Times New Roman" w:cs="Times New Roman"/>
          <w:bCs/>
          <w:sz w:val="24"/>
          <w:szCs w:val="24"/>
        </w:rPr>
        <w:t>OFFICE OF SUSTAINABILITY</w:t>
      </w:r>
      <w:r w:rsidRPr="00454A16">
        <w:rPr>
          <w:rFonts w:ascii="Times New Roman" w:hAnsi="Times New Roman" w:cs="Times New Roman"/>
          <w:bCs/>
          <w:sz w:val="24"/>
          <w:szCs w:val="24"/>
        </w:rPr>
        <w:t xml:space="preserve"> </w:t>
      </w:r>
      <w:r w:rsidR="00C04622">
        <w:rPr>
          <w:rFonts w:ascii="Times New Roman" w:hAnsi="Times New Roman" w:cs="Times New Roman"/>
          <w:bCs/>
          <w:sz w:val="24"/>
          <w:szCs w:val="24"/>
        </w:rPr>
        <w:t>REGULATIONS</w:t>
      </w:r>
      <w:r w:rsidRPr="00454A16">
        <w:rPr>
          <w:rFonts w:ascii="Times New Roman" w:hAnsi="Times New Roman" w:cs="Times New Roman"/>
          <w:bCs/>
          <w:sz w:val="24"/>
          <w:szCs w:val="24"/>
        </w:rPr>
        <w:t xml:space="preserve"> </w:t>
      </w:r>
      <w:r w:rsidR="00C04622">
        <w:rPr>
          <w:rFonts w:ascii="Times New Roman" w:hAnsi="Times New Roman" w:cs="Times New Roman"/>
          <w:bCs/>
          <w:sz w:val="24"/>
          <w:szCs w:val="24"/>
        </w:rPr>
        <w:t>GOVERNING BUILDING ENERGY PERFORMANCE</w:t>
      </w:r>
      <w:r>
        <w:rPr>
          <w:rFonts w:ascii="Times New Roman" w:hAnsi="Times New Roman" w:cs="Times New Roman"/>
          <w:sz w:val="24"/>
          <w:szCs w:val="24"/>
        </w:rPr>
        <w:t xml:space="preserve"> (attached) and find the proposed Regulation</w:t>
      </w:r>
      <w:r w:rsidR="00C04622">
        <w:rPr>
          <w:rFonts w:ascii="Times New Roman" w:hAnsi="Times New Roman" w:cs="Times New Roman"/>
          <w:sz w:val="24"/>
          <w:szCs w:val="24"/>
        </w:rPr>
        <w:t>s</w:t>
      </w:r>
      <w:r>
        <w:rPr>
          <w:rFonts w:ascii="Times New Roman" w:hAnsi="Times New Roman" w:cs="Times New Roman"/>
          <w:sz w:val="24"/>
          <w:szCs w:val="24"/>
        </w:rPr>
        <w:t xml:space="preserve"> to be legal and in proper form. These </w:t>
      </w:r>
      <w:r w:rsidR="00F03830">
        <w:rPr>
          <w:rFonts w:ascii="Times New Roman" w:hAnsi="Times New Roman" w:cs="Times New Roman"/>
          <w:sz w:val="24"/>
          <w:szCs w:val="24"/>
        </w:rPr>
        <w:t xml:space="preserve">amended </w:t>
      </w:r>
      <w:r>
        <w:rPr>
          <w:rFonts w:ascii="Times New Roman" w:hAnsi="Times New Roman" w:cs="Times New Roman"/>
          <w:sz w:val="24"/>
          <w:szCs w:val="24"/>
        </w:rPr>
        <w:t>regula</w:t>
      </w:r>
      <w:r w:rsidR="00C04622">
        <w:rPr>
          <w:rFonts w:ascii="Times New Roman" w:hAnsi="Times New Roman" w:cs="Times New Roman"/>
          <w:sz w:val="24"/>
          <w:szCs w:val="24"/>
        </w:rPr>
        <w:t>tions are being promulgated pursuant to</w:t>
      </w:r>
      <w:r>
        <w:rPr>
          <w:rFonts w:ascii="Times New Roman" w:hAnsi="Times New Roman" w:cs="Times New Roman"/>
          <w:sz w:val="24"/>
          <w:szCs w:val="24"/>
        </w:rPr>
        <w:t xml:space="preserve"> Section 8-407 of the Philadelphia Home Rule Charter</w:t>
      </w:r>
      <w:r w:rsidR="00C04622">
        <w:rPr>
          <w:rFonts w:ascii="Times New Roman" w:hAnsi="Times New Roman" w:cs="Times New Roman"/>
          <w:sz w:val="24"/>
          <w:szCs w:val="24"/>
        </w:rPr>
        <w:t>,</w:t>
      </w:r>
      <w:r>
        <w:rPr>
          <w:rFonts w:ascii="Times New Roman" w:hAnsi="Times New Roman" w:cs="Times New Roman"/>
          <w:sz w:val="24"/>
          <w:szCs w:val="24"/>
        </w:rPr>
        <w:t xml:space="preserve"> </w:t>
      </w:r>
      <w:r w:rsidR="00C04622">
        <w:rPr>
          <w:rFonts w:ascii="Times New Roman" w:hAnsi="Times New Roman" w:cs="Times New Roman"/>
          <w:sz w:val="24"/>
          <w:szCs w:val="24"/>
        </w:rPr>
        <w:t>and shall be effective after t</w:t>
      </w:r>
      <w:r w:rsidR="00F03830">
        <w:rPr>
          <w:rFonts w:ascii="Times New Roman" w:hAnsi="Times New Roman" w:cs="Times New Roman"/>
          <w:sz w:val="24"/>
          <w:szCs w:val="24"/>
        </w:rPr>
        <w:t>en</w:t>
      </w:r>
      <w:r w:rsidR="00C04622">
        <w:rPr>
          <w:rFonts w:ascii="Times New Roman" w:hAnsi="Times New Roman" w:cs="Times New Roman"/>
          <w:sz w:val="24"/>
          <w:szCs w:val="24"/>
        </w:rPr>
        <w:t xml:space="preserve"> (</w:t>
      </w:r>
      <w:r w:rsidR="00F03830">
        <w:rPr>
          <w:rFonts w:ascii="Times New Roman" w:hAnsi="Times New Roman" w:cs="Times New Roman"/>
          <w:sz w:val="24"/>
          <w:szCs w:val="24"/>
        </w:rPr>
        <w:t>1</w:t>
      </w:r>
      <w:r w:rsidR="00C04622">
        <w:rPr>
          <w:rFonts w:ascii="Times New Roman" w:hAnsi="Times New Roman" w:cs="Times New Roman"/>
          <w:sz w:val="24"/>
          <w:szCs w:val="24"/>
        </w:rPr>
        <w:t xml:space="preserve">0) days of submission </w:t>
      </w:r>
      <w:r w:rsidR="00F03830">
        <w:rPr>
          <w:rFonts w:ascii="Times New Roman" w:hAnsi="Times New Roman" w:cs="Times New Roman"/>
          <w:sz w:val="24"/>
          <w:szCs w:val="24"/>
        </w:rPr>
        <w:t xml:space="preserve">of said amendments and hearing report </w:t>
      </w:r>
      <w:r w:rsidR="00C04622">
        <w:rPr>
          <w:rFonts w:ascii="Times New Roman" w:hAnsi="Times New Roman" w:cs="Times New Roman"/>
          <w:sz w:val="24"/>
          <w:szCs w:val="24"/>
        </w:rPr>
        <w:t>to the Department of Records, pending any formal written request for a</w:t>
      </w:r>
      <w:r w:rsidR="00F03830">
        <w:rPr>
          <w:rFonts w:ascii="Times New Roman" w:hAnsi="Times New Roman" w:cs="Times New Roman"/>
          <w:sz w:val="24"/>
          <w:szCs w:val="24"/>
        </w:rPr>
        <w:t>nother</w:t>
      </w:r>
      <w:bookmarkStart w:id="0" w:name="_GoBack"/>
      <w:bookmarkEnd w:id="0"/>
      <w:r w:rsidR="00C04622">
        <w:rPr>
          <w:rFonts w:ascii="Times New Roman" w:hAnsi="Times New Roman" w:cs="Times New Roman"/>
          <w:sz w:val="24"/>
          <w:szCs w:val="24"/>
        </w:rPr>
        <w:t xml:space="preserve"> hearing.</w:t>
      </w:r>
    </w:p>
    <w:p w14:paraId="1750899D" w14:textId="77777777" w:rsidR="002552B9" w:rsidRDefault="002552B9" w:rsidP="002552B9">
      <w:pPr>
        <w:rPr>
          <w:rFonts w:ascii="Times New Roman" w:hAnsi="Times New Roman" w:cs="Times New Roman"/>
          <w:sz w:val="24"/>
          <w:szCs w:val="24"/>
        </w:rPr>
      </w:pPr>
    </w:p>
    <w:p w14:paraId="07BC0E47" w14:textId="77777777" w:rsidR="002552B9" w:rsidRDefault="002552B9" w:rsidP="002552B9">
      <w:pPr>
        <w:rPr>
          <w:rFonts w:ascii="Times New Roman" w:hAnsi="Times New Roman" w:cs="Times New Roman"/>
          <w:sz w:val="24"/>
          <w:szCs w:val="24"/>
        </w:rPr>
      </w:pPr>
    </w:p>
    <w:p w14:paraId="547C5CC9" w14:textId="77777777" w:rsidR="002552B9" w:rsidRDefault="002552B9" w:rsidP="002552B9">
      <w:pPr>
        <w:rPr>
          <w:rFonts w:ascii="Times New Roman" w:hAnsi="Times New Roman" w:cs="Times New Roman"/>
          <w:sz w:val="24"/>
          <w:szCs w:val="24"/>
        </w:rPr>
      </w:pPr>
    </w:p>
    <w:p w14:paraId="42005E31" w14:textId="77777777" w:rsidR="002552B9" w:rsidRDefault="002552B9" w:rsidP="002552B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/s/</w:t>
      </w:r>
    </w:p>
    <w:tbl>
      <w:tblPr>
        <w:tblStyle w:val="TableGrid"/>
        <w:tblW w:w="90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4"/>
      </w:tblGrid>
      <w:tr w:rsidR="002552B9" w14:paraId="7FC5A200" w14:textId="77777777" w:rsidTr="008C631A">
        <w:trPr>
          <w:trHeight w:val="865"/>
        </w:trPr>
        <w:tc>
          <w:tcPr>
            <w:tcW w:w="4508" w:type="dxa"/>
          </w:tcPr>
          <w:p w14:paraId="232A491B" w14:textId="77777777" w:rsidR="002552B9" w:rsidRDefault="002552B9" w:rsidP="00C04622">
            <w:pPr>
              <w:rPr>
                <w:rFonts w:ascii="Times New Roman" w:hAnsi="Times New Roman" w:cs="Times New Roman"/>
                <w:sz w:val="24"/>
                <w:szCs w:val="24"/>
              </w:rPr>
            </w:pPr>
          </w:p>
        </w:tc>
        <w:tc>
          <w:tcPr>
            <w:tcW w:w="4504" w:type="dxa"/>
            <w:tcBorders>
              <w:top w:val="single" w:sz="4" w:space="0" w:color="auto"/>
            </w:tcBorders>
          </w:tcPr>
          <w:p w14:paraId="28435957" w14:textId="77777777" w:rsidR="002552B9" w:rsidRDefault="002552B9" w:rsidP="00C04622">
            <w:pPr>
              <w:rPr>
                <w:rFonts w:ascii="Times New Roman" w:hAnsi="Times New Roman" w:cs="Times New Roman"/>
                <w:sz w:val="24"/>
                <w:szCs w:val="24"/>
              </w:rPr>
            </w:pPr>
            <w:r>
              <w:rPr>
                <w:rFonts w:ascii="Times New Roman" w:hAnsi="Times New Roman" w:cs="Times New Roman"/>
                <w:sz w:val="24"/>
                <w:szCs w:val="24"/>
              </w:rPr>
              <w:t>James C. Kellett</w:t>
            </w:r>
          </w:p>
          <w:p w14:paraId="3AC731DA" w14:textId="77777777" w:rsidR="002552B9" w:rsidRPr="00580717" w:rsidRDefault="002552B9" w:rsidP="00C04622">
            <w:pPr>
              <w:rPr>
                <w:rFonts w:ascii="Times New Roman" w:hAnsi="Times New Roman" w:cs="Times New Roman"/>
                <w:sz w:val="24"/>
                <w:szCs w:val="24"/>
              </w:rPr>
            </w:pPr>
            <w:r>
              <w:rPr>
                <w:rFonts w:ascii="Times New Roman" w:hAnsi="Times New Roman" w:cs="Times New Roman"/>
                <w:sz w:val="24"/>
                <w:szCs w:val="24"/>
              </w:rPr>
              <w:t>Deputy City Solicitor</w:t>
            </w:r>
          </w:p>
          <w:p w14:paraId="06D04A78" w14:textId="77777777" w:rsidR="002552B9" w:rsidRDefault="002552B9" w:rsidP="00C04622">
            <w:pPr>
              <w:rPr>
                <w:rFonts w:ascii="Times New Roman" w:hAnsi="Times New Roman" w:cs="Times New Roman"/>
                <w:sz w:val="24"/>
                <w:szCs w:val="24"/>
              </w:rPr>
            </w:pPr>
          </w:p>
        </w:tc>
      </w:tr>
      <w:tr w:rsidR="002552B9" w14:paraId="233C1DF0" w14:textId="77777777" w:rsidTr="008C631A">
        <w:trPr>
          <w:trHeight w:val="2203"/>
        </w:trPr>
        <w:tc>
          <w:tcPr>
            <w:tcW w:w="4508" w:type="dxa"/>
            <w:vAlign w:val="bottom"/>
          </w:tcPr>
          <w:p w14:paraId="0BD7AE84" w14:textId="77777777" w:rsidR="002552B9" w:rsidRDefault="002552B9" w:rsidP="00C04622">
            <w:pPr>
              <w:rPr>
                <w:rFonts w:ascii="Times New Roman" w:hAnsi="Times New Roman" w:cs="Times New Roman"/>
                <w:sz w:val="24"/>
                <w:szCs w:val="24"/>
              </w:rPr>
            </w:pPr>
            <w:r>
              <w:rPr>
                <w:rFonts w:ascii="Times New Roman" w:hAnsi="Times New Roman" w:cs="Times New Roman"/>
                <w:sz w:val="24"/>
                <w:szCs w:val="24"/>
              </w:rPr>
              <w:t>Cc:</w:t>
            </w:r>
            <w:r>
              <w:rPr>
                <w:rFonts w:ascii="Times New Roman" w:hAnsi="Times New Roman" w:cs="Times New Roman"/>
                <w:sz w:val="24"/>
                <w:szCs w:val="24"/>
              </w:rPr>
              <w:tab/>
            </w:r>
            <w:r w:rsidR="00C04622">
              <w:rPr>
                <w:rFonts w:ascii="Times New Roman" w:hAnsi="Times New Roman" w:cs="Times New Roman"/>
                <w:sz w:val="24"/>
                <w:szCs w:val="24"/>
              </w:rPr>
              <w:t>Scott Schwarz</w:t>
            </w:r>
          </w:p>
          <w:p w14:paraId="4FA05C24" w14:textId="77777777" w:rsidR="009565C7" w:rsidRDefault="009565C7" w:rsidP="00C04622">
            <w:pPr>
              <w:rPr>
                <w:rFonts w:ascii="Times New Roman" w:hAnsi="Times New Roman" w:cs="Times New Roman"/>
                <w:sz w:val="24"/>
                <w:szCs w:val="24"/>
              </w:rPr>
            </w:pPr>
          </w:p>
          <w:p w14:paraId="74A5394B" w14:textId="5C043F41" w:rsidR="0010277B" w:rsidRDefault="0010277B" w:rsidP="00C04622">
            <w:pPr>
              <w:rPr>
                <w:rFonts w:ascii="Times New Roman" w:hAnsi="Times New Roman" w:cs="Times New Roman"/>
                <w:sz w:val="24"/>
                <w:szCs w:val="24"/>
              </w:rPr>
            </w:pPr>
          </w:p>
        </w:tc>
        <w:tc>
          <w:tcPr>
            <w:tcW w:w="4504" w:type="dxa"/>
          </w:tcPr>
          <w:p w14:paraId="0193EEC8" w14:textId="77777777" w:rsidR="002552B9" w:rsidRPr="00997CE0" w:rsidRDefault="002552B9" w:rsidP="00C04622">
            <w:pPr>
              <w:rPr>
                <w:rFonts w:ascii="Times New Roman" w:hAnsi="Times New Roman" w:cs="Times New Roman"/>
                <w:sz w:val="24"/>
                <w:szCs w:val="24"/>
              </w:rPr>
            </w:pPr>
          </w:p>
        </w:tc>
      </w:tr>
      <w:tr w:rsidR="009565C7" w14:paraId="29E88AB1" w14:textId="77777777" w:rsidTr="008C631A">
        <w:trPr>
          <w:trHeight w:val="2203"/>
        </w:trPr>
        <w:tc>
          <w:tcPr>
            <w:tcW w:w="4508" w:type="dxa"/>
            <w:vAlign w:val="bottom"/>
          </w:tcPr>
          <w:p w14:paraId="498DCEA4" w14:textId="77777777" w:rsidR="009565C7" w:rsidRDefault="009565C7" w:rsidP="00C04622">
            <w:pPr>
              <w:rPr>
                <w:rFonts w:ascii="Times New Roman" w:hAnsi="Times New Roman" w:cs="Times New Roman"/>
                <w:sz w:val="24"/>
                <w:szCs w:val="24"/>
              </w:rPr>
            </w:pPr>
          </w:p>
        </w:tc>
        <w:tc>
          <w:tcPr>
            <w:tcW w:w="4504" w:type="dxa"/>
          </w:tcPr>
          <w:p w14:paraId="603D4763" w14:textId="77777777" w:rsidR="009565C7" w:rsidRPr="00997CE0" w:rsidRDefault="009565C7" w:rsidP="00C04622">
            <w:pPr>
              <w:rPr>
                <w:rFonts w:ascii="Times New Roman" w:hAnsi="Times New Roman" w:cs="Times New Roman"/>
                <w:sz w:val="24"/>
                <w:szCs w:val="24"/>
              </w:rPr>
            </w:pPr>
          </w:p>
        </w:tc>
      </w:tr>
    </w:tbl>
    <w:p w14:paraId="74CE821B" w14:textId="77777777" w:rsidR="002552B9" w:rsidRDefault="002552B9">
      <w:pPr>
        <w:rPr>
          <w:rFonts w:ascii="Times New Roman" w:hAnsi="Times New Roman" w:cs="Times New Roman"/>
          <w:b/>
          <w:bCs/>
          <w:i/>
          <w:iCs/>
          <w:sz w:val="24"/>
          <w:szCs w:val="24"/>
        </w:rPr>
      </w:pPr>
    </w:p>
    <w:p w14:paraId="6C4D004A" w14:textId="77777777" w:rsidR="002552B9" w:rsidRDefault="002552B9">
      <w:pPr>
        <w:ind w:left="720"/>
        <w:jc w:val="center"/>
        <w:rPr>
          <w:rFonts w:ascii="Times New Roman" w:hAnsi="Times New Roman" w:cs="Times New Roman"/>
          <w:b/>
          <w:bCs/>
          <w:i/>
          <w:iCs/>
          <w:sz w:val="24"/>
          <w:szCs w:val="24"/>
        </w:rPr>
      </w:pPr>
    </w:p>
    <w:p w14:paraId="6111046D" w14:textId="77777777" w:rsidR="002552B9" w:rsidRDefault="002552B9">
      <w:pPr>
        <w:ind w:left="720"/>
        <w:jc w:val="center"/>
        <w:rPr>
          <w:rFonts w:ascii="Times New Roman" w:hAnsi="Times New Roman" w:cs="Times New Roman"/>
          <w:b/>
          <w:bCs/>
          <w:i/>
          <w:iCs/>
          <w:sz w:val="24"/>
          <w:szCs w:val="24"/>
        </w:rPr>
      </w:pPr>
    </w:p>
    <w:p w14:paraId="64E3B904" w14:textId="77777777" w:rsidR="002552B9" w:rsidRDefault="002552B9">
      <w:pPr>
        <w:ind w:left="720"/>
        <w:jc w:val="center"/>
        <w:rPr>
          <w:rFonts w:ascii="Times New Roman" w:hAnsi="Times New Roman" w:cs="Times New Roman"/>
          <w:b/>
          <w:bCs/>
          <w:i/>
          <w:iCs/>
          <w:sz w:val="24"/>
          <w:szCs w:val="24"/>
        </w:rPr>
      </w:pPr>
    </w:p>
    <w:p w14:paraId="0F3DAC1E" w14:textId="77777777" w:rsidR="002552B9" w:rsidRDefault="002552B9">
      <w:pPr>
        <w:ind w:left="720"/>
        <w:jc w:val="center"/>
        <w:rPr>
          <w:rFonts w:ascii="Times New Roman" w:hAnsi="Times New Roman" w:cs="Times New Roman"/>
          <w:b/>
          <w:bCs/>
          <w:i/>
          <w:iCs/>
          <w:sz w:val="24"/>
          <w:szCs w:val="24"/>
        </w:rPr>
      </w:pPr>
    </w:p>
    <w:p w14:paraId="4C00B052" w14:textId="77777777" w:rsidR="002552B9" w:rsidRDefault="002552B9">
      <w:pPr>
        <w:ind w:left="720"/>
        <w:jc w:val="center"/>
        <w:rPr>
          <w:rFonts w:ascii="Times New Roman" w:hAnsi="Times New Roman" w:cs="Times New Roman"/>
          <w:b/>
          <w:bCs/>
          <w:i/>
          <w:iCs/>
          <w:sz w:val="24"/>
          <w:szCs w:val="24"/>
        </w:rPr>
      </w:pPr>
    </w:p>
    <w:p w14:paraId="29FB7D60" w14:textId="77777777" w:rsidR="00C04622" w:rsidRDefault="00C04622">
      <w:pPr>
        <w:ind w:left="720"/>
        <w:jc w:val="center"/>
        <w:rPr>
          <w:rFonts w:ascii="Times New Roman" w:hAnsi="Times New Roman" w:cs="Times New Roman"/>
          <w:b/>
          <w:bCs/>
          <w:i/>
          <w:iCs/>
          <w:sz w:val="24"/>
          <w:szCs w:val="24"/>
        </w:rPr>
      </w:pPr>
    </w:p>
    <w:p w14:paraId="3005A0C5" w14:textId="77777777" w:rsidR="00C04622" w:rsidRDefault="00C04622">
      <w:pPr>
        <w:ind w:left="720"/>
        <w:jc w:val="center"/>
        <w:rPr>
          <w:rFonts w:ascii="Times New Roman" w:hAnsi="Times New Roman" w:cs="Times New Roman"/>
          <w:b/>
          <w:bCs/>
          <w:i/>
          <w:iCs/>
          <w:sz w:val="24"/>
          <w:szCs w:val="24"/>
        </w:rPr>
      </w:pPr>
    </w:p>
    <w:p w14:paraId="62F577B0" w14:textId="77777777" w:rsidR="00C04622" w:rsidRDefault="00C04622">
      <w:pPr>
        <w:ind w:left="720"/>
        <w:jc w:val="center"/>
        <w:rPr>
          <w:rFonts w:ascii="Times New Roman" w:hAnsi="Times New Roman" w:cs="Times New Roman"/>
          <w:b/>
          <w:bCs/>
          <w:i/>
          <w:iCs/>
          <w:sz w:val="24"/>
          <w:szCs w:val="24"/>
        </w:rPr>
      </w:pPr>
    </w:p>
    <w:p w14:paraId="074933F0" w14:textId="77777777" w:rsidR="00C04622" w:rsidRDefault="00C04622" w:rsidP="00C04622">
      <w:pPr>
        <w:pStyle w:val="NoSpacing"/>
        <w:jc w:val="center"/>
        <w:rPr>
          <w:rFonts w:ascii="Times New Roman" w:hAnsi="Times New Roman" w:cs="Times New Roman"/>
          <w:b/>
          <w:bCs/>
        </w:rPr>
      </w:pPr>
    </w:p>
    <w:p w14:paraId="62CD7BA4" w14:textId="47DFC821" w:rsidR="00C04622" w:rsidRPr="008E075A" w:rsidRDefault="00C04622" w:rsidP="00C04622">
      <w:pPr>
        <w:pStyle w:val="NoSpacing"/>
        <w:jc w:val="center"/>
        <w:rPr>
          <w:rFonts w:ascii="Times New Roman" w:hAnsi="Times New Roman" w:cs="Times New Roman"/>
          <w:b/>
          <w:bCs/>
        </w:rPr>
      </w:pPr>
      <w:r w:rsidRPr="007D4292">
        <w:rPr>
          <w:rFonts w:ascii="Times New Roman" w:hAnsi="Times New Roman" w:cs="Times New Roman"/>
          <w:b/>
          <w:bCs/>
        </w:rPr>
        <w:t xml:space="preserve">OFFICE OF SUSTAINABILITY </w:t>
      </w:r>
      <w:r w:rsidR="00C343E8">
        <w:rPr>
          <w:rFonts w:ascii="Times New Roman" w:hAnsi="Times New Roman" w:cs="Times New Roman"/>
          <w:b/>
          <w:bCs/>
        </w:rPr>
        <w:t xml:space="preserve">AMENDED </w:t>
      </w:r>
      <w:r w:rsidRPr="007D4292">
        <w:rPr>
          <w:rFonts w:ascii="Times New Roman" w:hAnsi="Times New Roman" w:cs="Times New Roman"/>
          <w:b/>
          <w:bCs/>
        </w:rPr>
        <w:t>REGULATIONS ON BUILDING ENERGY PERFORMANCE POLICY</w:t>
      </w:r>
    </w:p>
    <w:p w14:paraId="000D2BEE" w14:textId="77777777" w:rsidR="00C04622" w:rsidRPr="008E075A" w:rsidRDefault="00C04622" w:rsidP="00C04622">
      <w:pPr>
        <w:rPr>
          <w:rFonts w:ascii="Times New Roman" w:hAnsi="Times New Roman" w:cs="Times New Roman"/>
          <w:sz w:val="24"/>
          <w:szCs w:val="24"/>
        </w:rPr>
      </w:pPr>
    </w:p>
    <w:p w14:paraId="145B0BC7" w14:textId="04A8FE83" w:rsidR="00C04622" w:rsidRDefault="00C04622" w:rsidP="00C04622">
      <w:pPr>
        <w:rPr>
          <w:rFonts w:ascii="Times New Roman" w:hAnsi="Times New Roman" w:cs="Times New Roman"/>
          <w:sz w:val="24"/>
          <w:szCs w:val="24"/>
        </w:rPr>
      </w:pPr>
      <w:r>
        <w:rPr>
          <w:rFonts w:ascii="Times New Roman" w:hAnsi="Times New Roman" w:cs="Times New Roman"/>
          <w:b/>
          <w:sz w:val="24"/>
          <w:szCs w:val="24"/>
        </w:rPr>
        <w:t xml:space="preserve">Section 1 Purpose. </w:t>
      </w:r>
      <w:r w:rsidRPr="008E075A">
        <w:rPr>
          <w:rFonts w:ascii="Times New Roman" w:hAnsi="Times New Roman" w:cs="Times New Roman"/>
          <w:sz w:val="24"/>
          <w:szCs w:val="24"/>
        </w:rPr>
        <w:t>Bill No. 190600 (approved December 4, 2019) requires owners of certain large buildings in the city of Philadelphia to conduct Tune-ups of their energy and water systems in order to reach energy conservation targets, and more broadly combat the global climate change emergency.  To implement this ordinance, the Office of Sustainability (“OOS”) hereby adopts the following regulations regarding building Tune-ups.</w:t>
      </w:r>
    </w:p>
    <w:p w14:paraId="62389C7D" w14:textId="77777777" w:rsidR="00C04622" w:rsidRPr="008E075A" w:rsidRDefault="00C04622" w:rsidP="00C04622">
      <w:pPr>
        <w:rPr>
          <w:rFonts w:ascii="Times New Roman" w:hAnsi="Times New Roman" w:cs="Times New Roman"/>
          <w:sz w:val="24"/>
          <w:szCs w:val="24"/>
        </w:rPr>
      </w:pPr>
    </w:p>
    <w:p w14:paraId="03DF7B42" w14:textId="57CADD33" w:rsidR="00C04622" w:rsidRDefault="00C04622" w:rsidP="00C04622">
      <w:pPr>
        <w:rPr>
          <w:rFonts w:ascii="Times New Roman" w:hAnsi="Times New Roman" w:cs="Times New Roman"/>
          <w:b/>
          <w:sz w:val="24"/>
          <w:szCs w:val="24"/>
        </w:rPr>
      </w:pPr>
      <w:r w:rsidRPr="00C04622">
        <w:rPr>
          <w:rFonts w:ascii="Times New Roman" w:hAnsi="Times New Roman" w:cs="Times New Roman"/>
          <w:b/>
          <w:sz w:val="24"/>
          <w:szCs w:val="24"/>
        </w:rPr>
        <w:t xml:space="preserve">Section </w:t>
      </w:r>
      <w:r w:rsidR="00386B3F">
        <w:rPr>
          <w:rFonts w:ascii="Times New Roman" w:hAnsi="Times New Roman" w:cs="Times New Roman"/>
          <w:b/>
          <w:sz w:val="24"/>
          <w:szCs w:val="24"/>
        </w:rPr>
        <w:t>2</w:t>
      </w:r>
      <w:r w:rsidRPr="00C04622">
        <w:rPr>
          <w:rFonts w:ascii="Times New Roman" w:hAnsi="Times New Roman" w:cs="Times New Roman"/>
          <w:b/>
          <w:sz w:val="24"/>
          <w:szCs w:val="24"/>
        </w:rPr>
        <w:t>. Definitions.</w:t>
      </w:r>
    </w:p>
    <w:p w14:paraId="30D84A64" w14:textId="77777777" w:rsidR="00C04622" w:rsidRPr="00C04622" w:rsidRDefault="00C04622" w:rsidP="00C04622">
      <w:pPr>
        <w:rPr>
          <w:rFonts w:ascii="Times New Roman" w:hAnsi="Times New Roman" w:cs="Times New Roman"/>
          <w:b/>
          <w:sz w:val="24"/>
          <w:szCs w:val="24"/>
        </w:rPr>
      </w:pPr>
    </w:p>
    <w:p w14:paraId="2F884952" w14:textId="541A7EC9" w:rsidR="00C04622" w:rsidRDefault="00C04622" w:rsidP="00C04622">
      <w:pPr>
        <w:pStyle w:val="ListParagraph"/>
        <w:numPr>
          <w:ilvl w:val="0"/>
          <w:numId w:val="1"/>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The definitions listed in the above-mentioned ordinance are hereby incorporated by reference as if set-forth at length</w:t>
      </w:r>
      <w:r>
        <w:rPr>
          <w:rFonts w:ascii="Times New Roman" w:hAnsi="Times New Roman" w:cs="Times New Roman"/>
          <w:sz w:val="24"/>
          <w:szCs w:val="24"/>
        </w:rPr>
        <w:t>.</w:t>
      </w:r>
    </w:p>
    <w:p w14:paraId="74AAB624" w14:textId="77777777" w:rsidR="00C04622" w:rsidRPr="008E075A" w:rsidRDefault="00C04622" w:rsidP="00C04622">
      <w:pPr>
        <w:pStyle w:val="ListParagraph"/>
        <w:spacing w:after="160" w:line="259" w:lineRule="auto"/>
        <w:ind w:left="1080"/>
        <w:rPr>
          <w:rFonts w:ascii="Times New Roman" w:hAnsi="Times New Roman" w:cs="Times New Roman"/>
          <w:sz w:val="24"/>
          <w:szCs w:val="24"/>
        </w:rPr>
      </w:pPr>
    </w:p>
    <w:p w14:paraId="1A7194DE" w14:textId="77777777" w:rsidR="00C04622" w:rsidRDefault="00C04622" w:rsidP="00C04622">
      <w:pPr>
        <w:pStyle w:val="ListParagraph"/>
        <w:numPr>
          <w:ilvl w:val="0"/>
          <w:numId w:val="1"/>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Other definitions.</w:t>
      </w:r>
    </w:p>
    <w:p w14:paraId="177EBAAA" w14:textId="77777777" w:rsidR="00C04622" w:rsidRPr="00C04622" w:rsidRDefault="00C04622" w:rsidP="00C04622">
      <w:pPr>
        <w:spacing w:after="160" w:line="259" w:lineRule="auto"/>
        <w:rPr>
          <w:rFonts w:ascii="Times New Roman" w:hAnsi="Times New Roman" w:cs="Times New Roman"/>
          <w:sz w:val="24"/>
          <w:szCs w:val="24"/>
        </w:rPr>
      </w:pPr>
    </w:p>
    <w:p w14:paraId="1268D441"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 xml:space="preserve">Active Optimization – Ongoing maintenance of building systems by the owner or his or her designee, either through computerized or manual protocols, that determines on a consistent basis compliance with Tune Up protocols. </w:t>
      </w:r>
    </w:p>
    <w:p w14:paraId="0CFF5AFA" w14:textId="77777777" w:rsidR="00C04622" w:rsidRPr="008E075A" w:rsidRDefault="00C04622" w:rsidP="00C04622">
      <w:pPr>
        <w:pStyle w:val="ListParagraph"/>
        <w:spacing w:after="160" w:line="259" w:lineRule="auto"/>
        <w:ind w:left="2160"/>
        <w:rPr>
          <w:rFonts w:ascii="Times New Roman" w:hAnsi="Times New Roman" w:cs="Times New Roman"/>
          <w:sz w:val="24"/>
          <w:szCs w:val="24"/>
        </w:rPr>
      </w:pPr>
    </w:p>
    <w:p w14:paraId="3B51E2D1" w14:textId="2F7EA6B4"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Assessment Element – an individual facet of a Tune-Up, to be noted on the provided report template and used in assessing the compliance with these regulations and their enabling ordinance.</w:t>
      </w:r>
    </w:p>
    <w:p w14:paraId="28CE0FEC" w14:textId="77777777" w:rsidR="00C04622" w:rsidRPr="00C04622" w:rsidRDefault="00C04622" w:rsidP="00C04622">
      <w:pPr>
        <w:spacing w:after="160" w:line="259" w:lineRule="auto"/>
        <w:rPr>
          <w:rFonts w:ascii="Times New Roman" w:hAnsi="Times New Roman" w:cs="Times New Roman"/>
          <w:sz w:val="24"/>
          <w:szCs w:val="24"/>
        </w:rPr>
      </w:pPr>
    </w:p>
    <w:p w14:paraId="4D6512CB"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Base Building System - shall have the meaning as set forth more fully in Section 9-3403 of the Philadelphia Code.</w:t>
      </w:r>
    </w:p>
    <w:p w14:paraId="46F5257A" w14:textId="77777777" w:rsidR="00C04622" w:rsidRPr="00C04622" w:rsidRDefault="00C04622" w:rsidP="00C04622">
      <w:pPr>
        <w:spacing w:after="160" w:line="259" w:lineRule="auto"/>
        <w:rPr>
          <w:rFonts w:ascii="Times New Roman" w:hAnsi="Times New Roman" w:cs="Times New Roman"/>
          <w:sz w:val="24"/>
          <w:szCs w:val="24"/>
        </w:rPr>
      </w:pPr>
    </w:p>
    <w:p w14:paraId="398EC984"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Benchmarking Policy – Benchmarking Policy shall have the definition as set forth in Section 9-3402 of the Philadelphia Code.</w:t>
      </w:r>
    </w:p>
    <w:p w14:paraId="08D04454" w14:textId="77777777" w:rsidR="00C04622" w:rsidRPr="00C04622" w:rsidRDefault="00C04622" w:rsidP="00C04622">
      <w:pPr>
        <w:spacing w:after="160" w:line="259" w:lineRule="auto"/>
        <w:rPr>
          <w:rFonts w:ascii="Times New Roman" w:hAnsi="Times New Roman" w:cs="Times New Roman"/>
          <w:sz w:val="24"/>
          <w:szCs w:val="24"/>
        </w:rPr>
      </w:pPr>
    </w:p>
    <w:p w14:paraId="35D5A9A4"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Compliance Deadline – the calendar date by which a given Covered Building must submit a Tune-up report satisfactory to OOS.</w:t>
      </w:r>
    </w:p>
    <w:p w14:paraId="625BFD95" w14:textId="77777777" w:rsidR="00C04622" w:rsidRPr="00C04622" w:rsidRDefault="00C04622" w:rsidP="00C04622">
      <w:pPr>
        <w:spacing w:after="160" w:line="259" w:lineRule="auto"/>
        <w:rPr>
          <w:rFonts w:ascii="Times New Roman" w:hAnsi="Times New Roman" w:cs="Times New Roman"/>
          <w:sz w:val="24"/>
          <w:szCs w:val="24"/>
        </w:rPr>
      </w:pPr>
    </w:p>
    <w:p w14:paraId="60D9C680"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Compliance Plan – The alternative compliance schedule set forth by Large Portfolio Owners, where applicable.</w:t>
      </w:r>
    </w:p>
    <w:p w14:paraId="0FF008B5" w14:textId="77777777" w:rsidR="00C04622" w:rsidRPr="00C04622" w:rsidRDefault="00C04622" w:rsidP="00C04622">
      <w:pPr>
        <w:spacing w:after="160" w:line="259" w:lineRule="auto"/>
        <w:rPr>
          <w:rFonts w:ascii="Times New Roman" w:hAnsi="Times New Roman" w:cs="Times New Roman"/>
          <w:sz w:val="24"/>
          <w:szCs w:val="24"/>
        </w:rPr>
      </w:pPr>
    </w:p>
    <w:p w14:paraId="1DA1191C"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Compliance Year – the three hundred sixty five (365) day period comprising the Compliance Deadline and the preceding three hundred sixty four (364) days.</w:t>
      </w:r>
    </w:p>
    <w:p w14:paraId="4E65437C" w14:textId="77777777" w:rsidR="00C04622" w:rsidRPr="00C04622" w:rsidRDefault="00C04622" w:rsidP="00C04622">
      <w:pPr>
        <w:spacing w:after="160" w:line="259" w:lineRule="auto"/>
        <w:rPr>
          <w:rFonts w:ascii="Times New Roman" w:hAnsi="Times New Roman" w:cs="Times New Roman"/>
          <w:sz w:val="24"/>
          <w:szCs w:val="24"/>
        </w:rPr>
      </w:pPr>
    </w:p>
    <w:p w14:paraId="484CFD45"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Corrective Action- shall have the meaning set forth more fully in Section 9-3403 of the Philadelphia Code.</w:t>
      </w:r>
    </w:p>
    <w:p w14:paraId="35CC1F58" w14:textId="77777777" w:rsidR="00C04622" w:rsidRPr="00C04622" w:rsidRDefault="00C04622" w:rsidP="00C04622">
      <w:pPr>
        <w:spacing w:after="160" w:line="259" w:lineRule="auto"/>
        <w:rPr>
          <w:rFonts w:ascii="Times New Roman" w:hAnsi="Times New Roman" w:cs="Times New Roman"/>
          <w:sz w:val="24"/>
          <w:szCs w:val="24"/>
        </w:rPr>
      </w:pPr>
    </w:p>
    <w:p w14:paraId="4C9D1F73" w14:textId="77777777" w:rsid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Director – The Director of OOS, or his/her assign(s).</w:t>
      </w:r>
    </w:p>
    <w:p w14:paraId="25D6B4C4" w14:textId="77777777" w:rsidR="00C04622" w:rsidRPr="00C04622" w:rsidRDefault="00C04622" w:rsidP="00C04622">
      <w:pPr>
        <w:spacing w:after="160" w:line="259" w:lineRule="auto"/>
        <w:rPr>
          <w:rFonts w:ascii="Times New Roman" w:hAnsi="Times New Roman" w:cs="Times New Roman"/>
          <w:sz w:val="24"/>
          <w:szCs w:val="24"/>
        </w:rPr>
      </w:pPr>
    </w:p>
    <w:p w14:paraId="42CC6162" w14:textId="77777777" w:rsidR="00C04622" w:rsidRPr="00C04622"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Large Portfolio Owner – the owner(s) of record of either (1)</w:t>
      </w:r>
      <w:r w:rsidRPr="008E075A">
        <w:rPr>
          <w:rFonts w:ascii="Times New Roman" w:eastAsia="Times New Roman" w:hAnsi="Times New Roman" w:cs="Times New Roman"/>
          <w:sz w:val="24"/>
          <w:szCs w:val="24"/>
        </w:rPr>
        <w:t xml:space="preserve"> twenty (20) or more Covered Buildings, or (2) any number of Covered Buildings with a cumulative floor area of five million (5,000,000) square feet or more.”</w:t>
      </w:r>
    </w:p>
    <w:p w14:paraId="7333A100" w14:textId="77777777" w:rsidR="00C04622" w:rsidRPr="00C04622" w:rsidRDefault="00C04622" w:rsidP="00C04622">
      <w:pPr>
        <w:spacing w:after="160" w:line="259" w:lineRule="auto"/>
        <w:rPr>
          <w:rFonts w:ascii="Times New Roman" w:hAnsi="Times New Roman" w:cs="Times New Roman"/>
          <w:sz w:val="24"/>
          <w:szCs w:val="24"/>
        </w:rPr>
      </w:pPr>
    </w:p>
    <w:p w14:paraId="35C0C7F1" w14:textId="77777777" w:rsidR="00C04622" w:rsidRPr="008E075A" w:rsidRDefault="00C04622" w:rsidP="00C04622">
      <w:pPr>
        <w:pStyle w:val="ListParagraph"/>
        <w:numPr>
          <w:ilvl w:val="0"/>
          <w:numId w:val="2"/>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Tune-up – Inspection by a Specialist and subsequent appropriate Corrective Actions to increase a Covered Building’s energy efficiency.</w:t>
      </w:r>
    </w:p>
    <w:p w14:paraId="3FC32C23" w14:textId="77777777" w:rsidR="00C04622" w:rsidRPr="008E075A" w:rsidRDefault="00C04622" w:rsidP="00C04622">
      <w:pPr>
        <w:pStyle w:val="ListParagraph"/>
        <w:ind w:left="2160"/>
        <w:rPr>
          <w:rFonts w:ascii="Times New Roman" w:hAnsi="Times New Roman" w:cs="Times New Roman"/>
          <w:sz w:val="24"/>
          <w:szCs w:val="24"/>
        </w:rPr>
      </w:pPr>
    </w:p>
    <w:p w14:paraId="3D810E69" w14:textId="7FE6AD40" w:rsidR="00C04622" w:rsidRPr="009017B9" w:rsidRDefault="00C04622" w:rsidP="00C04622">
      <w:pPr>
        <w:rPr>
          <w:rFonts w:ascii="Times New Roman" w:hAnsi="Times New Roman" w:cs="Times New Roman"/>
          <w:b/>
          <w:sz w:val="24"/>
          <w:szCs w:val="24"/>
        </w:rPr>
      </w:pPr>
      <w:r w:rsidRPr="009017B9">
        <w:rPr>
          <w:rFonts w:ascii="Times New Roman" w:hAnsi="Times New Roman" w:cs="Times New Roman"/>
          <w:b/>
          <w:sz w:val="24"/>
          <w:szCs w:val="24"/>
        </w:rPr>
        <w:t xml:space="preserve">Section 3. Covered Buildings. </w:t>
      </w:r>
    </w:p>
    <w:p w14:paraId="5561333A" w14:textId="77777777" w:rsidR="00C04622" w:rsidRPr="008E075A" w:rsidRDefault="00C04622" w:rsidP="00C04622">
      <w:pPr>
        <w:rPr>
          <w:rFonts w:ascii="Times New Roman" w:hAnsi="Times New Roman" w:cs="Times New Roman"/>
          <w:sz w:val="24"/>
          <w:szCs w:val="24"/>
        </w:rPr>
      </w:pPr>
    </w:p>
    <w:p w14:paraId="1B12A7DD"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a. Subject to the exemptions set forth in subsection (b) below, a Covered Building is any non-residential building with indoor floor space of at least fifty thousand square feet (50,000 sq. ft.) of floor space, including but not limited to (1) Mixed-use buildings in any mixed-use zoning classification with nonresidential use greater than fifty thousand (50,000) square feet; (2) Industrial and manufacturing facilities; and (3) Temporary lodgings, including but not limited to hotels, motels and short term rental facilities, or any other use in which occupants are primarily transient and not utilizing the premises as a primary residence.</w:t>
      </w:r>
    </w:p>
    <w:p w14:paraId="463AFBBC" w14:textId="77777777" w:rsidR="009017B9" w:rsidRPr="008E075A" w:rsidRDefault="009017B9" w:rsidP="00C04622">
      <w:pPr>
        <w:ind w:firstLine="720"/>
        <w:rPr>
          <w:rFonts w:ascii="Times New Roman" w:hAnsi="Times New Roman" w:cs="Times New Roman"/>
          <w:sz w:val="24"/>
          <w:szCs w:val="24"/>
        </w:rPr>
      </w:pPr>
    </w:p>
    <w:p w14:paraId="35BE9B55"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b. Covered Buildings shall not include (1) Residence halls, dormitories, and other non-transient large lodging places and (2) Parking lots and parking garages, or the portions of otherwise-Covered Buildings thereof used for parking.</w:t>
      </w:r>
    </w:p>
    <w:p w14:paraId="3B3D581A" w14:textId="77777777" w:rsidR="009017B9" w:rsidRPr="008E075A" w:rsidRDefault="009017B9" w:rsidP="00C04622">
      <w:pPr>
        <w:ind w:firstLine="720"/>
        <w:rPr>
          <w:rFonts w:ascii="Times New Roman" w:hAnsi="Times New Roman" w:cs="Times New Roman"/>
          <w:sz w:val="24"/>
          <w:szCs w:val="24"/>
        </w:rPr>
      </w:pPr>
    </w:p>
    <w:p w14:paraId="6C59E1BF"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c. OOS shall use its reasonable discretion in determining whether a building qualifies as a Covered Building.</w:t>
      </w:r>
    </w:p>
    <w:p w14:paraId="18C9D312" w14:textId="77777777" w:rsidR="009017B9" w:rsidRPr="008E075A" w:rsidRDefault="009017B9" w:rsidP="00C04622">
      <w:pPr>
        <w:ind w:firstLine="720"/>
        <w:rPr>
          <w:rFonts w:ascii="Times New Roman" w:hAnsi="Times New Roman" w:cs="Times New Roman"/>
          <w:sz w:val="24"/>
          <w:szCs w:val="24"/>
        </w:rPr>
      </w:pPr>
    </w:p>
    <w:p w14:paraId="4F363C5F" w14:textId="1C94C545" w:rsidR="00C04622" w:rsidRDefault="00C04622" w:rsidP="00C04622">
      <w:pPr>
        <w:rPr>
          <w:rFonts w:ascii="Times New Roman" w:hAnsi="Times New Roman" w:cs="Times New Roman"/>
          <w:b/>
          <w:sz w:val="24"/>
          <w:szCs w:val="24"/>
        </w:rPr>
      </w:pPr>
      <w:r w:rsidRPr="009017B9">
        <w:rPr>
          <w:rFonts w:ascii="Times New Roman" w:hAnsi="Times New Roman" w:cs="Times New Roman"/>
          <w:b/>
          <w:sz w:val="24"/>
          <w:szCs w:val="24"/>
        </w:rPr>
        <w:t xml:space="preserve">Section </w:t>
      </w:r>
      <w:r w:rsidR="00386B3F">
        <w:rPr>
          <w:rFonts w:ascii="Times New Roman" w:hAnsi="Times New Roman" w:cs="Times New Roman"/>
          <w:b/>
          <w:sz w:val="24"/>
          <w:szCs w:val="24"/>
        </w:rPr>
        <w:t>4</w:t>
      </w:r>
      <w:r w:rsidRPr="009017B9">
        <w:rPr>
          <w:rFonts w:ascii="Times New Roman" w:hAnsi="Times New Roman" w:cs="Times New Roman"/>
          <w:b/>
          <w:sz w:val="24"/>
          <w:szCs w:val="24"/>
        </w:rPr>
        <w:t xml:space="preserve">. Qualified Tune-up Specialists. (“Specialists”) </w:t>
      </w:r>
    </w:p>
    <w:p w14:paraId="7468FD68" w14:textId="77777777" w:rsidR="009017B9" w:rsidRPr="009017B9" w:rsidRDefault="009017B9" w:rsidP="00C04622">
      <w:pPr>
        <w:rPr>
          <w:rFonts w:ascii="Times New Roman" w:hAnsi="Times New Roman" w:cs="Times New Roman"/>
          <w:b/>
          <w:sz w:val="24"/>
          <w:szCs w:val="24"/>
        </w:rPr>
      </w:pPr>
    </w:p>
    <w:p w14:paraId="6EB6D636"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a. The Office shall not issue an approval for a Covered Building Tune-up without first approving the Specialist. In addition to the minimum qualifications set forth by ordinance, all Specialists must comply with the following:</w:t>
      </w:r>
    </w:p>
    <w:p w14:paraId="7ACE71B8" w14:textId="77777777" w:rsidR="009017B9" w:rsidRPr="008E075A" w:rsidRDefault="009017B9" w:rsidP="00C04622">
      <w:pPr>
        <w:ind w:firstLine="720"/>
        <w:rPr>
          <w:rFonts w:ascii="Times New Roman" w:hAnsi="Times New Roman" w:cs="Times New Roman"/>
          <w:sz w:val="24"/>
          <w:szCs w:val="24"/>
        </w:rPr>
      </w:pPr>
    </w:p>
    <w:p w14:paraId="7744BD51" w14:textId="424DD90D"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Submission of credentials to the Director, on an application provided by the Office of Sustainability, that shall include, but is not limited to, a resume proving necessary education and experience and documentation of licensure and/or certification. To the satisfaction of the Director, a Specialist must demonstrate at least seven (7) years of combined education and experience with commercial building operations and/or building energy management.</w:t>
      </w:r>
      <w:r w:rsidR="00FD23FD">
        <w:rPr>
          <w:rFonts w:ascii="Times New Roman" w:hAnsi="Times New Roman" w:cs="Times New Roman"/>
          <w:sz w:val="24"/>
          <w:szCs w:val="24"/>
        </w:rPr>
        <w:t xml:space="preserve"> An individual must be either</w:t>
      </w:r>
      <w:r w:rsidR="00FD23FD" w:rsidRPr="00FD23FD">
        <w:rPr>
          <w:rFonts w:ascii="Times New Roman" w:hAnsi="Times New Roman" w:cs="Times New Roman"/>
          <w:sz w:val="24"/>
          <w:szCs w:val="24"/>
        </w:rPr>
        <w:t xml:space="preserve"> a licensed Professional Engineer or Certified Energy Manager</w:t>
      </w:r>
      <w:r w:rsidR="00FD23FD">
        <w:rPr>
          <w:rFonts w:ascii="Times New Roman" w:hAnsi="Times New Roman" w:cs="Times New Roman"/>
          <w:sz w:val="24"/>
          <w:szCs w:val="24"/>
        </w:rPr>
        <w:t xml:space="preserve"> to qualify as a Specialist.</w:t>
      </w:r>
    </w:p>
    <w:p w14:paraId="1AF7F372" w14:textId="77777777" w:rsidR="009017B9" w:rsidRPr="008E075A" w:rsidRDefault="009017B9" w:rsidP="00C04622">
      <w:pPr>
        <w:rPr>
          <w:rFonts w:ascii="Times New Roman" w:hAnsi="Times New Roman" w:cs="Times New Roman"/>
          <w:sz w:val="24"/>
          <w:szCs w:val="24"/>
        </w:rPr>
      </w:pPr>
    </w:p>
    <w:p w14:paraId="231FB541"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t>ii. Unless otherwise provided herein, Specialists shall be third-party contractors of the building owner(s), and not employees. A building owner may only use its employee(s) as specialists if:</w:t>
      </w:r>
    </w:p>
    <w:p w14:paraId="1DBC5D00" w14:textId="77777777" w:rsidR="009017B9" w:rsidRPr="008E075A" w:rsidRDefault="009017B9" w:rsidP="00C04622">
      <w:pPr>
        <w:rPr>
          <w:rFonts w:ascii="Times New Roman" w:hAnsi="Times New Roman" w:cs="Times New Roman"/>
          <w:sz w:val="24"/>
          <w:szCs w:val="24"/>
        </w:rPr>
      </w:pPr>
    </w:p>
    <w:p w14:paraId="12793696" w14:textId="77777777" w:rsidR="00C04622" w:rsidRDefault="00C04622" w:rsidP="00C04622">
      <w:pPr>
        <w:pStyle w:val="ListParagraph"/>
        <w:numPr>
          <w:ilvl w:val="0"/>
          <w:numId w:val="4"/>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The owner is a Large Portfolio Owner, and the employee received approval from the Director pursuant to these regulations; and</w:t>
      </w:r>
    </w:p>
    <w:p w14:paraId="5E4881CB" w14:textId="77777777" w:rsidR="009017B9" w:rsidRPr="008E075A" w:rsidRDefault="009017B9" w:rsidP="009017B9">
      <w:pPr>
        <w:pStyle w:val="ListParagraph"/>
        <w:spacing w:after="160" w:line="259" w:lineRule="auto"/>
        <w:ind w:left="1800"/>
        <w:rPr>
          <w:rFonts w:ascii="Times New Roman" w:hAnsi="Times New Roman" w:cs="Times New Roman"/>
          <w:sz w:val="24"/>
          <w:szCs w:val="24"/>
        </w:rPr>
      </w:pPr>
    </w:p>
    <w:p w14:paraId="4F2FE644" w14:textId="77777777" w:rsidR="00C04622" w:rsidRDefault="00C04622" w:rsidP="00C04622">
      <w:pPr>
        <w:pStyle w:val="ListParagraph"/>
        <w:numPr>
          <w:ilvl w:val="0"/>
          <w:numId w:val="4"/>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If the employee, or a combination of the owner’s employees, produce(s) Tune Up Reports for greater than eighty-five percent (85%) of that owner’s total covered square footage in any Compliance Year, the owner conducts a subsequent quality-assurance audit of the completed work by a third-party Specialist; and</w:t>
      </w:r>
    </w:p>
    <w:p w14:paraId="1EA83CD0" w14:textId="77777777" w:rsidR="009017B9" w:rsidRPr="009017B9" w:rsidRDefault="009017B9" w:rsidP="009017B9">
      <w:pPr>
        <w:spacing w:after="160" w:line="259" w:lineRule="auto"/>
        <w:rPr>
          <w:rFonts w:ascii="Times New Roman" w:hAnsi="Times New Roman" w:cs="Times New Roman"/>
          <w:sz w:val="24"/>
          <w:szCs w:val="24"/>
        </w:rPr>
      </w:pPr>
    </w:p>
    <w:p w14:paraId="7BA1AD5E" w14:textId="228AA3AD" w:rsidR="00C04622" w:rsidRDefault="00C04622" w:rsidP="00C04622">
      <w:pPr>
        <w:pStyle w:val="ListParagraph"/>
        <w:numPr>
          <w:ilvl w:val="0"/>
          <w:numId w:val="4"/>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That Specialist shall submit his or her own report. For every portfolio of Covered Buildings, the Specialist shall randomly select</w:t>
      </w:r>
      <w:r w:rsidR="00417FDF">
        <w:rPr>
          <w:rFonts w:ascii="Times New Roman" w:hAnsi="Times New Roman" w:cs="Times New Roman"/>
          <w:sz w:val="24"/>
          <w:szCs w:val="24"/>
        </w:rPr>
        <w:t xml:space="preserve"> </w:t>
      </w:r>
      <w:r w:rsidRPr="008E075A">
        <w:rPr>
          <w:rFonts w:ascii="Times New Roman" w:hAnsi="Times New Roman" w:cs="Times New Roman"/>
          <w:sz w:val="24"/>
          <w:szCs w:val="24"/>
        </w:rPr>
        <w:t>Assessment Elements to inspect, but shall inspect each Assessment Element at least once. Each report shall state (1) which Assessment Elements were reviewed; (2) whether each Assessment Element had been properly addressed; (3) if not addressed, a satisfactorily explanation as to why; and (4) a signed assessment that either the building owner complied in good faith or did not, with an optional explanation; and</w:t>
      </w:r>
    </w:p>
    <w:p w14:paraId="13BBAD7E" w14:textId="77777777" w:rsidR="009017B9" w:rsidRPr="009017B9" w:rsidRDefault="009017B9" w:rsidP="009017B9">
      <w:pPr>
        <w:spacing w:after="160" w:line="259" w:lineRule="auto"/>
        <w:rPr>
          <w:rFonts w:ascii="Times New Roman" w:hAnsi="Times New Roman" w:cs="Times New Roman"/>
          <w:sz w:val="24"/>
          <w:szCs w:val="24"/>
        </w:rPr>
      </w:pPr>
    </w:p>
    <w:p w14:paraId="0484FA38" w14:textId="77777777" w:rsidR="00C04622" w:rsidRDefault="00C04622" w:rsidP="00C04622">
      <w:pPr>
        <w:pStyle w:val="ListParagraph"/>
        <w:numPr>
          <w:ilvl w:val="0"/>
          <w:numId w:val="4"/>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If the results from these quality assurance audits demonstrate significant deficiencies – as defined by the Director - the Director may require the Large Portfolio Owner to (1) reduce the percentage threshold for requiring a quality assurance audit in future Compliance Years; (2) require a certain percentage of Tune-up inspections be conducted by a third-party, and/or (3) disallow in-house staff from conducting future Tune-ups.</w:t>
      </w:r>
    </w:p>
    <w:p w14:paraId="63732C8B" w14:textId="77777777" w:rsidR="009017B9" w:rsidRPr="009017B9" w:rsidRDefault="009017B9" w:rsidP="009017B9">
      <w:pPr>
        <w:spacing w:after="160" w:line="259" w:lineRule="auto"/>
        <w:rPr>
          <w:rFonts w:ascii="Times New Roman" w:hAnsi="Times New Roman" w:cs="Times New Roman"/>
          <w:sz w:val="24"/>
          <w:szCs w:val="24"/>
        </w:rPr>
      </w:pPr>
    </w:p>
    <w:p w14:paraId="7C7FEE9D" w14:textId="77777777" w:rsidR="00C04622" w:rsidRPr="008E075A" w:rsidRDefault="00C04622" w:rsidP="00C04622">
      <w:pPr>
        <w:pStyle w:val="ListParagraph"/>
        <w:numPr>
          <w:ilvl w:val="0"/>
          <w:numId w:val="4"/>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OOS reserves the right to reject any third-party Report, or request more information</w:t>
      </w:r>
    </w:p>
    <w:p w14:paraId="0C862108" w14:textId="7EF7CAC1" w:rsidR="009017B9" w:rsidRDefault="009017B9" w:rsidP="009017B9">
      <w:pPr>
        <w:ind w:left="720" w:firstLine="720"/>
        <w:rPr>
          <w:rFonts w:ascii="Times New Roman" w:hAnsi="Times New Roman" w:cs="Times New Roman"/>
          <w:sz w:val="24"/>
          <w:szCs w:val="24"/>
        </w:rPr>
      </w:pPr>
      <w:r>
        <w:rPr>
          <w:rFonts w:ascii="Times New Roman" w:hAnsi="Times New Roman" w:cs="Times New Roman"/>
          <w:sz w:val="24"/>
          <w:szCs w:val="24"/>
        </w:rPr>
        <w:t>iii</w:t>
      </w:r>
      <w:r w:rsidR="00C04622" w:rsidRPr="008E075A">
        <w:rPr>
          <w:rFonts w:ascii="Times New Roman" w:hAnsi="Times New Roman" w:cs="Times New Roman"/>
          <w:sz w:val="24"/>
          <w:szCs w:val="24"/>
        </w:rPr>
        <w:t xml:space="preserve">. Building owners other than Large Portfolio Owners may petition the Director in writing to conduct a Tune-up with employees. The petitioner must demonstrate </w:t>
      </w:r>
      <w:r w:rsidR="00A6115D">
        <w:rPr>
          <w:rFonts w:ascii="Times New Roman" w:hAnsi="Times New Roman" w:cs="Times New Roman"/>
          <w:sz w:val="24"/>
          <w:szCs w:val="24"/>
        </w:rPr>
        <w:t xml:space="preserve">a </w:t>
      </w:r>
      <w:r w:rsidR="00C04622" w:rsidRPr="008E075A">
        <w:rPr>
          <w:rFonts w:ascii="Times New Roman" w:hAnsi="Times New Roman" w:cs="Times New Roman"/>
          <w:sz w:val="24"/>
          <w:szCs w:val="24"/>
        </w:rPr>
        <w:t>hardship</w:t>
      </w:r>
      <w:r w:rsidR="000E0A79">
        <w:rPr>
          <w:rFonts w:ascii="Times New Roman" w:hAnsi="Times New Roman" w:cs="Times New Roman"/>
          <w:sz w:val="24"/>
          <w:szCs w:val="24"/>
        </w:rPr>
        <w:t xml:space="preserve"> in hiring a third-party Specialist, such as </w:t>
      </w:r>
      <w:proofErr w:type="gramStart"/>
      <w:r w:rsidR="000E0A79">
        <w:rPr>
          <w:rFonts w:ascii="Times New Roman" w:hAnsi="Times New Roman" w:cs="Times New Roman"/>
          <w:sz w:val="24"/>
          <w:szCs w:val="24"/>
        </w:rPr>
        <w:t xml:space="preserve">a </w:t>
      </w:r>
      <w:r w:rsidR="00A6115D">
        <w:rPr>
          <w:rFonts w:ascii="Times New Roman" w:hAnsi="Times New Roman" w:cs="Times New Roman"/>
          <w:sz w:val="24"/>
          <w:szCs w:val="24"/>
        </w:rPr>
        <w:t>an</w:t>
      </w:r>
      <w:proofErr w:type="gramEnd"/>
      <w:r w:rsidR="00C04622" w:rsidRPr="008E075A">
        <w:rPr>
          <w:rFonts w:ascii="Times New Roman" w:hAnsi="Times New Roman" w:cs="Times New Roman"/>
          <w:sz w:val="24"/>
          <w:szCs w:val="24"/>
        </w:rPr>
        <w:t xml:space="preserve"> inability to afford a </w:t>
      </w:r>
      <w:r w:rsidR="00A6115D">
        <w:rPr>
          <w:rFonts w:ascii="Times New Roman" w:hAnsi="Times New Roman" w:cs="Times New Roman"/>
          <w:sz w:val="24"/>
          <w:szCs w:val="24"/>
        </w:rPr>
        <w:t>Specialist due to financial hardship,</w:t>
      </w:r>
      <w:r w:rsidR="00C04622" w:rsidRPr="008E075A">
        <w:rPr>
          <w:rFonts w:ascii="Times New Roman" w:hAnsi="Times New Roman" w:cs="Times New Roman"/>
          <w:sz w:val="24"/>
          <w:szCs w:val="24"/>
        </w:rPr>
        <w:t xml:space="preserve"> to the satisfaction of OOS. If the Director provides this exception, the employee must demonstrate the appropriate qualifications for acting as a Specialist.</w:t>
      </w:r>
    </w:p>
    <w:p w14:paraId="52F1E6AF" w14:textId="10ADE99B" w:rsidR="00C04622" w:rsidRPr="008E075A" w:rsidRDefault="00C04622" w:rsidP="00C04622">
      <w:pPr>
        <w:ind w:left="720" w:firstLine="720"/>
        <w:rPr>
          <w:rFonts w:ascii="Times New Roman" w:hAnsi="Times New Roman" w:cs="Times New Roman"/>
          <w:sz w:val="24"/>
          <w:szCs w:val="24"/>
        </w:rPr>
      </w:pPr>
      <w:r w:rsidRPr="008E075A">
        <w:rPr>
          <w:rFonts w:ascii="Times New Roman" w:hAnsi="Times New Roman" w:cs="Times New Roman"/>
          <w:sz w:val="24"/>
          <w:szCs w:val="24"/>
        </w:rPr>
        <w:t xml:space="preserve"> </w:t>
      </w:r>
    </w:p>
    <w:p w14:paraId="252BA5E9"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b. OOS may reject, or revoke, Tune-up approval at any time if an applicant is found to have provided false, misleading, or otherwise untrue information to the Office, or if the City conducts a quality-assurance assessment and finds errors in a Specialist’s work and/or reporting that, to the determination of the Office, contains significant errors.</w:t>
      </w:r>
    </w:p>
    <w:p w14:paraId="712D592F" w14:textId="77777777" w:rsidR="009017B9" w:rsidRPr="008E075A" w:rsidRDefault="009017B9" w:rsidP="00C04622">
      <w:pPr>
        <w:rPr>
          <w:rFonts w:ascii="Times New Roman" w:hAnsi="Times New Roman" w:cs="Times New Roman"/>
          <w:sz w:val="24"/>
          <w:szCs w:val="24"/>
        </w:rPr>
      </w:pPr>
    </w:p>
    <w:p w14:paraId="1688A96C" w14:textId="032A561D" w:rsidR="00C04622" w:rsidRDefault="00C04622" w:rsidP="00C04622">
      <w:pPr>
        <w:rPr>
          <w:rFonts w:ascii="Times New Roman" w:hAnsi="Times New Roman" w:cs="Times New Roman"/>
          <w:sz w:val="24"/>
          <w:szCs w:val="24"/>
        </w:rPr>
      </w:pPr>
      <w:r w:rsidRPr="009017B9">
        <w:rPr>
          <w:rFonts w:ascii="Times New Roman" w:hAnsi="Times New Roman" w:cs="Times New Roman"/>
          <w:b/>
          <w:sz w:val="24"/>
          <w:szCs w:val="24"/>
        </w:rPr>
        <w:t xml:space="preserve">Section </w:t>
      </w:r>
      <w:r w:rsidR="00386B3F">
        <w:rPr>
          <w:rFonts w:ascii="Times New Roman" w:hAnsi="Times New Roman" w:cs="Times New Roman"/>
          <w:b/>
          <w:sz w:val="24"/>
          <w:szCs w:val="24"/>
        </w:rPr>
        <w:t>5</w:t>
      </w:r>
      <w:r w:rsidRPr="009017B9">
        <w:rPr>
          <w:rFonts w:ascii="Times New Roman" w:hAnsi="Times New Roman" w:cs="Times New Roman"/>
          <w:b/>
          <w:sz w:val="24"/>
          <w:szCs w:val="24"/>
        </w:rPr>
        <w:t>. Elements of a Tune-up</w:t>
      </w:r>
      <w:r w:rsidRPr="008E075A">
        <w:rPr>
          <w:rFonts w:ascii="Times New Roman" w:hAnsi="Times New Roman" w:cs="Times New Roman"/>
          <w:sz w:val="24"/>
          <w:szCs w:val="24"/>
        </w:rPr>
        <w:t>. Tune-up reports shall be compiled using the workbook attached as Exhibit A and incorporated herein as if set forth in full. In completing the report, the following guidelines apply:</w:t>
      </w:r>
    </w:p>
    <w:p w14:paraId="64A03753" w14:textId="77777777" w:rsidR="009017B9" w:rsidRPr="008E075A" w:rsidRDefault="009017B9" w:rsidP="00C04622">
      <w:pPr>
        <w:rPr>
          <w:rFonts w:ascii="Times New Roman" w:hAnsi="Times New Roman" w:cs="Times New Roman"/>
          <w:sz w:val="24"/>
          <w:szCs w:val="24"/>
        </w:rPr>
      </w:pPr>
    </w:p>
    <w:p w14:paraId="13D85C8B"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 xml:space="preserve">a. The Specialist shall indicate which Assessment Elements apply to each building inspected. If a building does not contain a certain Assessment Element, the Specialist should note this in the Inspection Finding column of the workbook, or analogous section of the report, and no corrective action is required. </w:t>
      </w:r>
    </w:p>
    <w:p w14:paraId="71775DCA" w14:textId="77777777" w:rsidR="009017B9" w:rsidRPr="008E075A" w:rsidRDefault="009017B9" w:rsidP="00C04622">
      <w:pPr>
        <w:ind w:firstLine="720"/>
        <w:rPr>
          <w:rFonts w:ascii="Times New Roman" w:hAnsi="Times New Roman" w:cs="Times New Roman"/>
          <w:sz w:val="24"/>
          <w:szCs w:val="24"/>
        </w:rPr>
      </w:pPr>
    </w:p>
    <w:p w14:paraId="6E62FED5" w14:textId="282C48B4"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b. Where a Covered Building utilizes an inefficient system of operation, the owner may be exempt from Corrective Action for adequate cause. This includes, but is not limited to, public health reasons</w:t>
      </w:r>
      <w:r w:rsidR="00C56961">
        <w:rPr>
          <w:rFonts w:ascii="Times New Roman" w:hAnsi="Times New Roman" w:cs="Times New Roman"/>
          <w:sz w:val="24"/>
          <w:szCs w:val="24"/>
        </w:rPr>
        <w:t xml:space="preserve"> – </w:t>
      </w:r>
      <w:r w:rsidR="001175F8">
        <w:rPr>
          <w:rFonts w:ascii="Times New Roman" w:hAnsi="Times New Roman" w:cs="Times New Roman"/>
          <w:sz w:val="24"/>
          <w:szCs w:val="24"/>
        </w:rPr>
        <w:t>including but not limited to:</w:t>
      </w:r>
      <w:r w:rsidR="00C56961">
        <w:rPr>
          <w:rFonts w:ascii="Times New Roman" w:hAnsi="Times New Roman" w:cs="Times New Roman"/>
          <w:sz w:val="24"/>
          <w:szCs w:val="24"/>
        </w:rPr>
        <w:t xml:space="preserve"> alterations to ventilation and outside air percentage recommended by ASHRAE or the CDC to reduce transmission of diseases during health emergencies -</w:t>
      </w:r>
      <w:r w:rsidRPr="008E075A">
        <w:rPr>
          <w:rFonts w:ascii="Times New Roman" w:hAnsi="Times New Roman" w:cs="Times New Roman"/>
          <w:sz w:val="24"/>
          <w:szCs w:val="24"/>
        </w:rPr>
        <w:t xml:space="preserve"> or specific uses. A valid reason does not include personal preference, and OOS reserves the right to reject any exemptions. The Specialist shall sign-off on the exemption and its reasoning, and include it in the Description of Extenuating Circumstances column of the workbook or analogous section of the report. </w:t>
      </w:r>
    </w:p>
    <w:p w14:paraId="4DB7E8C4" w14:textId="77777777" w:rsidR="009017B9" w:rsidRPr="008E075A" w:rsidRDefault="009017B9" w:rsidP="00C04622">
      <w:pPr>
        <w:ind w:firstLine="720"/>
        <w:rPr>
          <w:rFonts w:ascii="Times New Roman" w:hAnsi="Times New Roman" w:cs="Times New Roman"/>
          <w:sz w:val="24"/>
          <w:szCs w:val="24"/>
        </w:rPr>
      </w:pPr>
    </w:p>
    <w:p w14:paraId="66D73660" w14:textId="45E8BD81" w:rsidR="00C04622" w:rsidRPr="009017B9" w:rsidRDefault="009017B9" w:rsidP="009017B9">
      <w:pPr>
        <w:spacing w:after="160" w:line="259" w:lineRule="auto"/>
        <w:ind w:firstLine="720"/>
        <w:rPr>
          <w:rFonts w:ascii="Times New Roman" w:hAnsi="Times New Roman" w:cs="Times New Roman"/>
          <w:sz w:val="24"/>
          <w:szCs w:val="24"/>
        </w:rPr>
      </w:pPr>
      <w:r>
        <w:rPr>
          <w:rFonts w:ascii="Times New Roman" w:hAnsi="Times New Roman" w:cs="Times New Roman"/>
          <w:sz w:val="24"/>
          <w:szCs w:val="24"/>
        </w:rPr>
        <w:t xml:space="preserve">c. </w:t>
      </w:r>
      <w:r w:rsidR="00C04622" w:rsidRPr="009017B9">
        <w:rPr>
          <w:rFonts w:ascii="Times New Roman" w:hAnsi="Times New Roman" w:cs="Times New Roman"/>
          <w:sz w:val="24"/>
          <w:szCs w:val="24"/>
        </w:rPr>
        <w:t>The Qualified Tune-up Specialist must detail the outcomes of each inspection in the "Inspection Finding" column of the workbook or analogous section of the report, state whether or not there is a deficiency, and provide brief detail as to why a deficiency exists.</w:t>
      </w:r>
    </w:p>
    <w:p w14:paraId="694DEA99" w14:textId="43A1B1D1" w:rsidR="00C04622" w:rsidRDefault="009017B9" w:rsidP="009017B9">
      <w:pPr>
        <w:ind w:firstLine="720"/>
        <w:rPr>
          <w:rFonts w:ascii="Times New Roman" w:hAnsi="Times New Roman" w:cs="Times New Roman"/>
          <w:sz w:val="24"/>
          <w:szCs w:val="24"/>
        </w:rPr>
      </w:pPr>
      <w:r>
        <w:rPr>
          <w:rFonts w:ascii="Times New Roman" w:hAnsi="Times New Roman" w:cs="Times New Roman"/>
          <w:sz w:val="24"/>
          <w:szCs w:val="24"/>
        </w:rPr>
        <w:t xml:space="preserve">d. </w:t>
      </w:r>
      <w:r w:rsidR="00C04622" w:rsidRPr="008E075A">
        <w:rPr>
          <w:rFonts w:ascii="Times New Roman" w:hAnsi="Times New Roman" w:cs="Times New Roman"/>
          <w:sz w:val="24"/>
          <w:szCs w:val="24"/>
        </w:rPr>
        <w:t xml:space="preserve">If the Specialist observes a deficiency, the Specialist must describe the action(s) they recommend to remedy it in the Corrective Action Description column. Upon </w:t>
      </w:r>
      <w:proofErr w:type="spellStart"/>
      <w:r w:rsidR="00C04622" w:rsidRPr="008E075A">
        <w:rPr>
          <w:rFonts w:ascii="Times New Roman" w:hAnsi="Times New Roman" w:cs="Times New Roman"/>
          <w:sz w:val="24"/>
          <w:szCs w:val="24"/>
        </w:rPr>
        <w:t>reinspection</w:t>
      </w:r>
      <w:proofErr w:type="spellEnd"/>
      <w:r w:rsidR="00C04622" w:rsidRPr="008E075A">
        <w:rPr>
          <w:rFonts w:ascii="Times New Roman" w:hAnsi="Times New Roman" w:cs="Times New Roman"/>
          <w:sz w:val="24"/>
          <w:szCs w:val="24"/>
        </w:rPr>
        <w:t xml:space="preserve"> following the completion of Corrective Actions, the Specialist should note in the “End Condition” column the current state of the Assessment Element and whether the deficiency was remediated.</w:t>
      </w:r>
    </w:p>
    <w:p w14:paraId="2D2F7D69" w14:textId="77777777" w:rsidR="009017B9" w:rsidRPr="008E075A" w:rsidRDefault="009017B9" w:rsidP="009017B9">
      <w:pPr>
        <w:ind w:firstLine="720"/>
        <w:rPr>
          <w:rFonts w:ascii="Times New Roman" w:hAnsi="Times New Roman" w:cs="Times New Roman"/>
          <w:sz w:val="24"/>
          <w:szCs w:val="24"/>
        </w:rPr>
      </w:pPr>
    </w:p>
    <w:p w14:paraId="6D2DD4BC" w14:textId="45C99A24" w:rsidR="00C04622" w:rsidRPr="009017B9" w:rsidRDefault="009017B9" w:rsidP="009017B9">
      <w:pPr>
        <w:spacing w:after="160" w:line="259" w:lineRule="auto"/>
        <w:ind w:firstLine="720"/>
        <w:rPr>
          <w:rFonts w:ascii="Times New Roman" w:hAnsi="Times New Roman" w:cs="Times New Roman"/>
          <w:sz w:val="24"/>
          <w:szCs w:val="24"/>
        </w:rPr>
      </w:pPr>
      <w:r>
        <w:rPr>
          <w:rFonts w:ascii="Times New Roman" w:hAnsi="Times New Roman" w:cs="Times New Roman"/>
          <w:sz w:val="24"/>
          <w:szCs w:val="24"/>
        </w:rPr>
        <w:t xml:space="preserve">e. </w:t>
      </w:r>
      <w:r w:rsidR="00C04622" w:rsidRPr="009017B9">
        <w:rPr>
          <w:rFonts w:ascii="Times New Roman" w:hAnsi="Times New Roman" w:cs="Times New Roman"/>
          <w:sz w:val="24"/>
          <w:szCs w:val="24"/>
        </w:rPr>
        <w:t xml:space="preserve">Where an Assessment Element allows a sampling of system components, for instance the inspection of grilles and coils, the Specialist can conduct a randomized inspection of at least 15% of that Element, unless otherwise specified in the Assessment Overview column of Exhibit A. </w:t>
      </w:r>
      <w:r w:rsidR="00D36E9D">
        <w:rPr>
          <w:rFonts w:ascii="Times New Roman" w:hAnsi="Times New Roman" w:cs="Times New Roman"/>
          <w:sz w:val="24"/>
          <w:szCs w:val="24"/>
        </w:rPr>
        <w:t xml:space="preserve">The inspection </w:t>
      </w:r>
      <w:r w:rsidR="00D36E9D" w:rsidRPr="000E0A79">
        <w:rPr>
          <w:rFonts w:ascii="Times New Roman" w:hAnsi="Times New Roman" w:cs="Times New Roman"/>
          <w:sz w:val="24"/>
          <w:szCs w:val="24"/>
        </w:rPr>
        <w:t>should be random in that it</w:t>
      </w:r>
      <w:r w:rsidR="00D36E9D">
        <w:rPr>
          <w:rFonts w:ascii="Times New Roman" w:hAnsi="Times New Roman" w:cs="Times New Roman"/>
          <w:sz w:val="24"/>
          <w:szCs w:val="24"/>
        </w:rPr>
        <w:t xml:space="preserve"> should not only include Elements that are known to be new or in working order, or </w:t>
      </w:r>
      <w:r w:rsidR="000E0A79">
        <w:rPr>
          <w:rFonts w:ascii="Times New Roman" w:hAnsi="Times New Roman" w:cs="Times New Roman"/>
          <w:sz w:val="24"/>
          <w:szCs w:val="24"/>
        </w:rPr>
        <w:t xml:space="preserve">be </w:t>
      </w:r>
      <w:r w:rsidR="00D36E9D">
        <w:rPr>
          <w:rFonts w:ascii="Times New Roman" w:hAnsi="Times New Roman" w:cs="Times New Roman"/>
          <w:sz w:val="24"/>
          <w:szCs w:val="24"/>
        </w:rPr>
        <w:t>focused on a specific zone</w:t>
      </w:r>
      <w:r w:rsidR="00A6115D">
        <w:rPr>
          <w:rFonts w:ascii="Times New Roman" w:hAnsi="Times New Roman" w:cs="Times New Roman"/>
          <w:sz w:val="24"/>
          <w:szCs w:val="24"/>
        </w:rPr>
        <w:t xml:space="preserve"> and/or floor</w:t>
      </w:r>
      <w:r w:rsidR="00D36E9D">
        <w:rPr>
          <w:rFonts w:ascii="Times New Roman" w:hAnsi="Times New Roman" w:cs="Times New Roman"/>
          <w:sz w:val="24"/>
          <w:szCs w:val="24"/>
        </w:rPr>
        <w:t>, when multiple zones</w:t>
      </w:r>
      <w:r w:rsidR="00A6115D">
        <w:rPr>
          <w:rFonts w:ascii="Times New Roman" w:hAnsi="Times New Roman" w:cs="Times New Roman"/>
          <w:sz w:val="24"/>
          <w:szCs w:val="24"/>
        </w:rPr>
        <w:t xml:space="preserve"> and/or floors</w:t>
      </w:r>
      <w:r w:rsidR="00D36E9D">
        <w:rPr>
          <w:rFonts w:ascii="Times New Roman" w:hAnsi="Times New Roman" w:cs="Times New Roman"/>
          <w:sz w:val="24"/>
          <w:szCs w:val="24"/>
        </w:rPr>
        <w:t xml:space="preserve"> are present in the building. </w:t>
      </w:r>
      <w:r w:rsidR="00C04622" w:rsidRPr="009017B9">
        <w:rPr>
          <w:rFonts w:ascii="Times New Roman" w:hAnsi="Times New Roman" w:cs="Times New Roman"/>
          <w:sz w:val="24"/>
          <w:szCs w:val="24"/>
        </w:rPr>
        <w:t xml:space="preserve">Within the "Sampling Approach" column, the Tune-up Specialist must note the number of elements included in the random inspection, the total number of elements in the building (can be estimated), and the number of floors (as a % of total) on which an element was inspected. </w:t>
      </w:r>
    </w:p>
    <w:p w14:paraId="12471262" w14:textId="5CAE0192" w:rsidR="00C04622" w:rsidRDefault="00C04622" w:rsidP="009017B9">
      <w:pPr>
        <w:ind w:firstLine="720"/>
        <w:rPr>
          <w:rFonts w:ascii="Times New Roman" w:hAnsi="Times New Roman" w:cs="Times New Roman"/>
          <w:sz w:val="24"/>
          <w:szCs w:val="24"/>
        </w:rPr>
      </w:pPr>
      <w:r w:rsidRPr="008E075A">
        <w:rPr>
          <w:rFonts w:ascii="Times New Roman" w:hAnsi="Times New Roman" w:cs="Times New Roman"/>
          <w:sz w:val="24"/>
          <w:szCs w:val="24"/>
        </w:rPr>
        <w:t>f. If over fifty percent (50%) of sampled Elements demonstrate need for corrective actions, the Specialist should provide a recommendation to the building owner in the Corrective Action Description column about if (and how) to review and/or correct potential issues among the broader set of the elements throughout the building. Corrective action on elements outside the sampling range is voluntary. The building owners should provide to the Specialist a description of further steps beyond fixing the sampled elements, if any, the building will take. The Specialist should note this within the “End Condition” column and describe what, if anything, beyond the required c</w:t>
      </w:r>
      <w:r w:rsidR="009017B9">
        <w:rPr>
          <w:rFonts w:ascii="Times New Roman" w:hAnsi="Times New Roman" w:cs="Times New Roman"/>
          <w:sz w:val="24"/>
          <w:szCs w:val="24"/>
        </w:rPr>
        <w:t>orrective action was completed.</w:t>
      </w:r>
    </w:p>
    <w:p w14:paraId="4ACAAF25" w14:textId="77777777" w:rsidR="009017B9" w:rsidRPr="008E075A" w:rsidRDefault="009017B9" w:rsidP="009017B9">
      <w:pPr>
        <w:ind w:firstLine="720"/>
        <w:rPr>
          <w:rFonts w:ascii="Times New Roman" w:hAnsi="Times New Roman" w:cs="Times New Roman"/>
          <w:sz w:val="24"/>
          <w:szCs w:val="24"/>
        </w:rPr>
      </w:pPr>
    </w:p>
    <w:p w14:paraId="4B98E43C" w14:textId="0DFFDA95" w:rsidR="00C04622" w:rsidRPr="009017B9" w:rsidRDefault="009017B9" w:rsidP="009017B9">
      <w:pPr>
        <w:spacing w:after="160" w:line="259" w:lineRule="auto"/>
        <w:ind w:firstLine="720"/>
        <w:rPr>
          <w:rFonts w:ascii="Times New Roman" w:hAnsi="Times New Roman" w:cs="Times New Roman"/>
          <w:sz w:val="24"/>
          <w:szCs w:val="24"/>
        </w:rPr>
      </w:pPr>
      <w:r>
        <w:rPr>
          <w:rFonts w:ascii="Times New Roman" w:hAnsi="Times New Roman" w:cs="Times New Roman"/>
          <w:sz w:val="24"/>
          <w:szCs w:val="24"/>
        </w:rPr>
        <w:t xml:space="preserve">g. </w:t>
      </w:r>
      <w:r w:rsidR="00C04622" w:rsidRPr="009017B9">
        <w:rPr>
          <w:rFonts w:ascii="Times New Roman" w:hAnsi="Times New Roman" w:cs="Times New Roman"/>
          <w:sz w:val="24"/>
          <w:szCs w:val="24"/>
        </w:rPr>
        <w:t>For Assessment Elements related to system maintenance &amp; repairs, building owners and Tune-up specialists should proceed according to ANSI/ASHRAE/ACCA Standard 180-2012 (or current edition).</w:t>
      </w:r>
    </w:p>
    <w:p w14:paraId="4F0E59C5" w14:textId="772CCB68" w:rsidR="00C04622" w:rsidRPr="008C631A" w:rsidRDefault="00563411" w:rsidP="008C631A">
      <w:pPr>
        <w:rPr>
          <w:rFonts w:ascii="Times New Roman" w:hAnsi="Times New Roman" w:cs="Times New Roman"/>
          <w:sz w:val="24"/>
          <w:szCs w:val="24"/>
        </w:rPr>
      </w:pPr>
      <w:r w:rsidRPr="008C631A">
        <w:rPr>
          <w:rFonts w:ascii="Times New Roman" w:hAnsi="Times New Roman" w:cs="Times New Roman"/>
          <w:sz w:val="24"/>
          <w:szCs w:val="24"/>
        </w:rPr>
        <w:t>h.</w:t>
      </w:r>
      <w:r>
        <w:rPr>
          <w:rFonts w:ascii="Times New Roman" w:hAnsi="Times New Roman" w:cs="Times New Roman"/>
          <w:sz w:val="24"/>
          <w:szCs w:val="24"/>
        </w:rPr>
        <w:t xml:space="preserve"> </w:t>
      </w:r>
      <w:r w:rsidR="00C04622" w:rsidRPr="008C631A">
        <w:rPr>
          <w:rFonts w:ascii="Times New Roman" w:hAnsi="Times New Roman" w:cs="Times New Roman"/>
          <w:sz w:val="24"/>
          <w:szCs w:val="24"/>
        </w:rPr>
        <w:t>No recommendation or remedial action suggested pursuant to this Section shall be accepted or approved by OOS without the consent of the Director.</w:t>
      </w:r>
    </w:p>
    <w:p w14:paraId="35D90C38" w14:textId="77777777" w:rsidR="009017B9" w:rsidRPr="009017B9" w:rsidRDefault="009017B9" w:rsidP="009017B9">
      <w:pPr>
        <w:pStyle w:val="ListParagraph"/>
        <w:rPr>
          <w:rFonts w:ascii="Times New Roman" w:hAnsi="Times New Roman" w:cs="Times New Roman"/>
          <w:sz w:val="24"/>
          <w:szCs w:val="24"/>
        </w:rPr>
      </w:pPr>
    </w:p>
    <w:p w14:paraId="7496C171" w14:textId="1BC9608C" w:rsidR="00C04622" w:rsidRPr="009017B9" w:rsidRDefault="00C04622" w:rsidP="00C04622">
      <w:pPr>
        <w:rPr>
          <w:rFonts w:ascii="Times New Roman" w:hAnsi="Times New Roman" w:cs="Times New Roman"/>
          <w:b/>
          <w:sz w:val="24"/>
          <w:szCs w:val="24"/>
        </w:rPr>
      </w:pPr>
      <w:r w:rsidRPr="009017B9">
        <w:rPr>
          <w:rFonts w:ascii="Times New Roman" w:hAnsi="Times New Roman" w:cs="Times New Roman"/>
          <w:b/>
          <w:sz w:val="24"/>
          <w:szCs w:val="24"/>
        </w:rPr>
        <w:t xml:space="preserve">Section </w:t>
      </w:r>
      <w:r w:rsidR="00386B3F">
        <w:rPr>
          <w:rFonts w:ascii="Times New Roman" w:hAnsi="Times New Roman" w:cs="Times New Roman"/>
          <w:b/>
          <w:sz w:val="24"/>
          <w:szCs w:val="24"/>
        </w:rPr>
        <w:t>6</w:t>
      </w:r>
      <w:r w:rsidRPr="009017B9">
        <w:rPr>
          <w:rFonts w:ascii="Times New Roman" w:hAnsi="Times New Roman" w:cs="Times New Roman"/>
          <w:b/>
          <w:sz w:val="24"/>
          <w:szCs w:val="24"/>
        </w:rPr>
        <w:t>. Tune-up Reports.</w:t>
      </w:r>
    </w:p>
    <w:p w14:paraId="4FD83E40" w14:textId="77777777" w:rsidR="009017B9" w:rsidRPr="008E075A" w:rsidRDefault="009017B9" w:rsidP="00C04622">
      <w:pPr>
        <w:rPr>
          <w:rFonts w:ascii="Times New Roman" w:hAnsi="Times New Roman" w:cs="Times New Roman"/>
          <w:sz w:val="24"/>
          <w:szCs w:val="24"/>
        </w:rPr>
      </w:pPr>
    </w:p>
    <w:p w14:paraId="5687F4F3"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a. Specialists shall submit Tune-up reports to OOS, in a manner acceptable to OOS and/or on a form provided by OOS, by the close of business on the Compliance Deadline.</w:t>
      </w:r>
    </w:p>
    <w:p w14:paraId="2B88BF6B" w14:textId="77777777" w:rsidR="009017B9" w:rsidRPr="008E075A" w:rsidRDefault="009017B9" w:rsidP="00C04622">
      <w:pPr>
        <w:rPr>
          <w:rFonts w:ascii="Times New Roman" w:hAnsi="Times New Roman" w:cs="Times New Roman"/>
          <w:sz w:val="24"/>
          <w:szCs w:val="24"/>
        </w:rPr>
      </w:pPr>
    </w:p>
    <w:p w14:paraId="38CCF382"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b. Notwithstanding any requirements by ordinance, Tune-up reports shall specifically include the following, as well as any other criteria the Office may, at its discretion, subsequently add by amending these regulations:</w:t>
      </w:r>
    </w:p>
    <w:p w14:paraId="301C3886" w14:textId="77777777" w:rsidR="009017B9" w:rsidRPr="008E075A" w:rsidRDefault="009017B9" w:rsidP="00C04622">
      <w:pPr>
        <w:ind w:firstLine="720"/>
        <w:rPr>
          <w:rFonts w:ascii="Times New Roman" w:hAnsi="Times New Roman" w:cs="Times New Roman"/>
          <w:sz w:val="24"/>
          <w:szCs w:val="24"/>
        </w:rPr>
      </w:pPr>
    </w:p>
    <w:p w14:paraId="29A684EA"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xml:space="preserve">. “Any applicable columns from the Workbook. </w:t>
      </w:r>
      <w:r w:rsidRPr="008E075A">
        <w:rPr>
          <w:rFonts w:ascii="Times New Roman" w:hAnsi="Times New Roman" w:cs="Times New Roman"/>
          <w:i/>
          <w:sz w:val="24"/>
          <w:szCs w:val="24"/>
        </w:rPr>
        <w:t xml:space="preserve">See </w:t>
      </w:r>
      <w:r w:rsidRPr="008E075A">
        <w:rPr>
          <w:rFonts w:ascii="Times New Roman" w:hAnsi="Times New Roman" w:cs="Times New Roman"/>
          <w:sz w:val="24"/>
          <w:szCs w:val="24"/>
        </w:rPr>
        <w:t>Exhibit A;</w:t>
      </w:r>
    </w:p>
    <w:p w14:paraId="7925AD28" w14:textId="77777777" w:rsidR="009017B9" w:rsidRPr="008E075A" w:rsidRDefault="009017B9" w:rsidP="00C04622">
      <w:pPr>
        <w:rPr>
          <w:rFonts w:ascii="Times New Roman" w:hAnsi="Times New Roman" w:cs="Times New Roman"/>
          <w:sz w:val="24"/>
          <w:szCs w:val="24"/>
        </w:rPr>
      </w:pPr>
    </w:p>
    <w:p w14:paraId="7445D1CE"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t>ii. The date of the initial inspection;</w:t>
      </w:r>
    </w:p>
    <w:p w14:paraId="752EF2E0" w14:textId="77777777" w:rsidR="009017B9" w:rsidRPr="008E075A" w:rsidRDefault="009017B9" w:rsidP="00C04622">
      <w:pPr>
        <w:rPr>
          <w:rFonts w:ascii="Times New Roman" w:hAnsi="Times New Roman" w:cs="Times New Roman"/>
          <w:sz w:val="24"/>
          <w:szCs w:val="24"/>
        </w:rPr>
      </w:pPr>
    </w:p>
    <w:p w14:paraId="358ED302"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t>iii. Date(s) of any corrective action review(s) and/or finalization(s);</w:t>
      </w:r>
    </w:p>
    <w:p w14:paraId="25286553" w14:textId="77777777" w:rsidR="009017B9" w:rsidRPr="008E075A" w:rsidRDefault="009017B9" w:rsidP="00C04622">
      <w:pPr>
        <w:rPr>
          <w:rFonts w:ascii="Times New Roman" w:hAnsi="Times New Roman" w:cs="Times New Roman"/>
          <w:sz w:val="24"/>
          <w:szCs w:val="24"/>
        </w:rPr>
      </w:pPr>
    </w:p>
    <w:p w14:paraId="4341C147"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t>iv. A brief description of at least five (5) required actions, listed by greatest projected impact;</w:t>
      </w:r>
    </w:p>
    <w:p w14:paraId="19C3F500" w14:textId="77777777" w:rsidR="009017B9" w:rsidRPr="008E075A" w:rsidRDefault="009017B9" w:rsidP="00C04622">
      <w:pPr>
        <w:rPr>
          <w:rFonts w:ascii="Times New Roman" w:hAnsi="Times New Roman" w:cs="Times New Roman"/>
          <w:sz w:val="24"/>
          <w:szCs w:val="24"/>
        </w:rPr>
      </w:pPr>
    </w:p>
    <w:p w14:paraId="4CA09A8E"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 xml:space="preserve"> </w:t>
      </w:r>
      <w:r w:rsidRPr="008E075A">
        <w:rPr>
          <w:rFonts w:ascii="Times New Roman" w:hAnsi="Times New Roman" w:cs="Times New Roman"/>
          <w:sz w:val="24"/>
          <w:szCs w:val="24"/>
        </w:rPr>
        <w:tab/>
      </w:r>
      <w:r w:rsidRPr="008E075A">
        <w:rPr>
          <w:rFonts w:ascii="Times New Roman" w:hAnsi="Times New Roman" w:cs="Times New Roman"/>
          <w:sz w:val="24"/>
          <w:szCs w:val="24"/>
        </w:rPr>
        <w:tab/>
        <w:t>v. A brief description of at least five (5) recommended actions, listed by greatest impact;</w:t>
      </w:r>
    </w:p>
    <w:p w14:paraId="0D9ABE4B" w14:textId="77777777" w:rsidR="009017B9" w:rsidRPr="008E075A" w:rsidRDefault="009017B9" w:rsidP="00C04622">
      <w:pPr>
        <w:rPr>
          <w:rFonts w:ascii="Times New Roman" w:hAnsi="Times New Roman" w:cs="Times New Roman"/>
          <w:sz w:val="24"/>
          <w:szCs w:val="24"/>
        </w:rPr>
      </w:pPr>
    </w:p>
    <w:p w14:paraId="48562AA7" w14:textId="1789A770" w:rsidR="00C04622" w:rsidRDefault="00C04622" w:rsidP="00C04622">
      <w:pPr>
        <w:rPr>
          <w:rFonts w:ascii="Times New Roman" w:hAnsi="Times New Roman" w:cs="Times New Roman"/>
          <w:b/>
          <w:sz w:val="24"/>
          <w:szCs w:val="24"/>
        </w:rPr>
      </w:pPr>
      <w:r w:rsidRPr="009017B9">
        <w:rPr>
          <w:rFonts w:ascii="Times New Roman" w:hAnsi="Times New Roman" w:cs="Times New Roman"/>
          <w:b/>
          <w:sz w:val="24"/>
          <w:szCs w:val="24"/>
        </w:rPr>
        <w:t xml:space="preserve">Section </w:t>
      </w:r>
      <w:r w:rsidR="00386B3F">
        <w:rPr>
          <w:rFonts w:ascii="Times New Roman" w:hAnsi="Times New Roman" w:cs="Times New Roman"/>
          <w:b/>
          <w:sz w:val="24"/>
          <w:szCs w:val="24"/>
        </w:rPr>
        <w:t>7.</w:t>
      </w:r>
      <w:r w:rsidRPr="009017B9">
        <w:rPr>
          <w:rFonts w:ascii="Times New Roman" w:hAnsi="Times New Roman" w:cs="Times New Roman"/>
          <w:b/>
          <w:sz w:val="24"/>
          <w:szCs w:val="24"/>
        </w:rPr>
        <w:t xml:space="preserve"> Tune-up Requirement Exemptions. </w:t>
      </w:r>
    </w:p>
    <w:p w14:paraId="04830D0E" w14:textId="77777777" w:rsidR="009017B9" w:rsidRPr="009017B9" w:rsidRDefault="009017B9" w:rsidP="00C04622">
      <w:pPr>
        <w:rPr>
          <w:rFonts w:ascii="Times New Roman" w:hAnsi="Times New Roman" w:cs="Times New Roman"/>
          <w:b/>
          <w:sz w:val="24"/>
          <w:szCs w:val="24"/>
        </w:rPr>
      </w:pPr>
    </w:p>
    <w:p w14:paraId="2CAF262E"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 xml:space="preserve">a. Notwithstanding the provisions of the enabling ordinance, an owner may only apply for an exemption to the Tune-up requirement if the building has been compliant with the City’s Benchmarking Policy for the two (2) consecutive years preceding its Tune-up Compliance Date. </w:t>
      </w:r>
    </w:p>
    <w:p w14:paraId="32988257" w14:textId="77777777" w:rsidR="009017B9" w:rsidRPr="008E075A" w:rsidRDefault="009017B9" w:rsidP="00C04622">
      <w:pPr>
        <w:ind w:firstLine="720"/>
        <w:rPr>
          <w:rFonts w:ascii="Times New Roman" w:hAnsi="Times New Roman" w:cs="Times New Roman"/>
          <w:sz w:val="24"/>
          <w:szCs w:val="24"/>
        </w:rPr>
      </w:pPr>
    </w:p>
    <w:p w14:paraId="5658808F"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b. Applications for an exemption shall be made on a form provided by the Office and shall include (1) the proposed reason for the exemption; (2) evidence for this qualification; and (3) all items listed in the “Data Requirements” section of the Workbook, except for the Specialist’s information. No exemption shall be granted as of right.</w:t>
      </w:r>
    </w:p>
    <w:p w14:paraId="266C3B1E" w14:textId="77777777" w:rsidR="009017B9" w:rsidRPr="008E075A" w:rsidRDefault="009017B9" w:rsidP="00C04622">
      <w:pPr>
        <w:ind w:firstLine="720"/>
        <w:rPr>
          <w:rFonts w:ascii="Times New Roman" w:hAnsi="Times New Roman" w:cs="Times New Roman"/>
          <w:sz w:val="24"/>
          <w:szCs w:val="24"/>
        </w:rPr>
      </w:pPr>
    </w:p>
    <w:p w14:paraId="1C48E397"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c. An ENERGY STAR Certification exemption shall require (1) either a copy of the EPA-issued ENERGY STAR Certificate of Achievement or (2) the congratulatory email confirming certification; and either (1) a copy of the application for Certification or (2) the Statement of Energy Performance (SEP) with the same year-ending date as the application.</w:t>
      </w:r>
    </w:p>
    <w:p w14:paraId="346E6B2B" w14:textId="77777777" w:rsidR="009017B9" w:rsidRPr="008E075A" w:rsidRDefault="009017B9" w:rsidP="00C04622">
      <w:pPr>
        <w:ind w:firstLine="720"/>
        <w:rPr>
          <w:rFonts w:ascii="Times New Roman" w:hAnsi="Times New Roman" w:cs="Times New Roman"/>
          <w:sz w:val="24"/>
          <w:szCs w:val="24"/>
        </w:rPr>
      </w:pPr>
    </w:p>
    <w:p w14:paraId="334FD213"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d. Other certifications qualifying for exemption shall require building owners to achieve or re-certify those qualifications no more than three (3) years prior to the Compliance Deadline and to provide:</w:t>
      </w:r>
    </w:p>
    <w:p w14:paraId="4F630488" w14:textId="77777777" w:rsidR="009017B9" w:rsidRPr="008E075A" w:rsidRDefault="009017B9" w:rsidP="00C04622">
      <w:pPr>
        <w:ind w:firstLine="720"/>
        <w:rPr>
          <w:rFonts w:ascii="Times New Roman" w:hAnsi="Times New Roman" w:cs="Times New Roman"/>
          <w:sz w:val="24"/>
          <w:szCs w:val="24"/>
        </w:rPr>
      </w:pPr>
    </w:p>
    <w:p w14:paraId="183B01EA"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ab/>
      </w: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For green building certification exemptions, LEED Gold or Platinum certificate for Building Operations and Maintenance (O &amp; M) (issued by United States Green Building Council (USGBC) and LEED scorecard); or Net-Zero Energy Certification issued by International Living Future Institute (ILFI), with any summary documentation; or</w:t>
      </w:r>
    </w:p>
    <w:p w14:paraId="7FF17448" w14:textId="77777777" w:rsidR="009017B9" w:rsidRPr="008E075A" w:rsidRDefault="009017B9" w:rsidP="00C04622">
      <w:pPr>
        <w:ind w:firstLine="720"/>
        <w:rPr>
          <w:rFonts w:ascii="Times New Roman" w:hAnsi="Times New Roman" w:cs="Times New Roman"/>
          <w:sz w:val="24"/>
          <w:szCs w:val="24"/>
        </w:rPr>
      </w:pPr>
    </w:p>
    <w:p w14:paraId="2AC52DC6"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ab/>
        <w:t xml:space="preserve">ii. For utility retro-commissioning, sufficient evidence, including final approval by PECO, of </w:t>
      </w:r>
      <w:proofErr w:type="spellStart"/>
      <w:r w:rsidRPr="008E075A">
        <w:rPr>
          <w:rFonts w:ascii="Times New Roman" w:hAnsi="Times New Roman" w:cs="Times New Roman"/>
          <w:sz w:val="24"/>
          <w:szCs w:val="24"/>
        </w:rPr>
        <w:t>retrocommissioning</w:t>
      </w:r>
      <w:proofErr w:type="spellEnd"/>
      <w:r w:rsidRPr="008E075A">
        <w:rPr>
          <w:rFonts w:ascii="Times New Roman" w:hAnsi="Times New Roman" w:cs="Times New Roman"/>
          <w:sz w:val="24"/>
          <w:szCs w:val="24"/>
        </w:rPr>
        <w:t xml:space="preserve"> the whole building, as defined in Pennsylvania Act 129 of 2008 as amended or subsequently altered for additional phase;</w:t>
      </w:r>
    </w:p>
    <w:p w14:paraId="23C7434F" w14:textId="77777777" w:rsidR="009017B9" w:rsidRPr="008E075A" w:rsidRDefault="009017B9" w:rsidP="00C04622">
      <w:pPr>
        <w:ind w:firstLine="720"/>
        <w:rPr>
          <w:rFonts w:ascii="Times New Roman" w:hAnsi="Times New Roman" w:cs="Times New Roman"/>
          <w:sz w:val="24"/>
          <w:szCs w:val="24"/>
        </w:rPr>
      </w:pPr>
    </w:p>
    <w:p w14:paraId="6979CE82" w14:textId="77777777"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ab/>
        <w:t xml:space="preserve">iii. For other </w:t>
      </w:r>
      <w:proofErr w:type="spellStart"/>
      <w:r w:rsidRPr="008E075A">
        <w:rPr>
          <w:rFonts w:ascii="Times New Roman" w:hAnsi="Times New Roman" w:cs="Times New Roman"/>
          <w:sz w:val="24"/>
          <w:szCs w:val="24"/>
        </w:rPr>
        <w:t>retrocomissioning</w:t>
      </w:r>
      <w:proofErr w:type="spellEnd"/>
      <w:r w:rsidRPr="008E075A">
        <w:rPr>
          <w:rFonts w:ascii="Times New Roman" w:hAnsi="Times New Roman" w:cs="Times New Roman"/>
          <w:sz w:val="24"/>
          <w:szCs w:val="24"/>
        </w:rPr>
        <w:t xml:space="preserve"> or </w:t>
      </w:r>
      <w:proofErr w:type="spellStart"/>
      <w:r w:rsidRPr="008E075A">
        <w:rPr>
          <w:rFonts w:ascii="Times New Roman" w:hAnsi="Times New Roman" w:cs="Times New Roman"/>
          <w:sz w:val="24"/>
          <w:szCs w:val="24"/>
        </w:rPr>
        <w:t>recommissioning</w:t>
      </w:r>
      <w:proofErr w:type="spellEnd"/>
      <w:r w:rsidRPr="008E075A">
        <w:rPr>
          <w:rFonts w:ascii="Times New Roman" w:hAnsi="Times New Roman" w:cs="Times New Roman"/>
          <w:sz w:val="24"/>
          <w:szCs w:val="24"/>
        </w:rPr>
        <w:t xml:space="preserve">, such certification must cover greater than or equal to seventy-five percent (75%) of the Covered Building’s square footage. The applicant must submit sufficient evidence of compliance with energy reduction requirements promulgated in Phase 3 of Act 129 and documentation by the provider who conducted the </w:t>
      </w:r>
      <w:proofErr w:type="spellStart"/>
      <w:r w:rsidRPr="008E075A">
        <w:rPr>
          <w:rFonts w:ascii="Times New Roman" w:hAnsi="Times New Roman" w:cs="Times New Roman"/>
          <w:sz w:val="24"/>
          <w:szCs w:val="24"/>
        </w:rPr>
        <w:t>retrocommissioning</w:t>
      </w:r>
      <w:proofErr w:type="spellEnd"/>
      <w:r w:rsidRPr="008E075A">
        <w:rPr>
          <w:rFonts w:ascii="Times New Roman" w:hAnsi="Times New Roman" w:cs="Times New Roman"/>
          <w:sz w:val="24"/>
          <w:szCs w:val="24"/>
        </w:rPr>
        <w:t xml:space="preserve"> or </w:t>
      </w:r>
      <w:proofErr w:type="spellStart"/>
      <w:r w:rsidRPr="008E075A">
        <w:rPr>
          <w:rFonts w:ascii="Times New Roman" w:hAnsi="Times New Roman" w:cs="Times New Roman"/>
          <w:sz w:val="24"/>
          <w:szCs w:val="24"/>
        </w:rPr>
        <w:t>recommissioning</w:t>
      </w:r>
      <w:proofErr w:type="spellEnd"/>
      <w:r w:rsidRPr="008E075A">
        <w:rPr>
          <w:rFonts w:ascii="Times New Roman" w:hAnsi="Times New Roman" w:cs="Times New Roman"/>
          <w:sz w:val="24"/>
          <w:szCs w:val="24"/>
        </w:rPr>
        <w:t>.</w:t>
      </w:r>
    </w:p>
    <w:p w14:paraId="2E6DF7A8" w14:textId="77777777" w:rsidR="009017B9" w:rsidRPr="008E075A" w:rsidRDefault="009017B9" w:rsidP="00C04622">
      <w:pPr>
        <w:ind w:firstLine="720"/>
        <w:rPr>
          <w:rFonts w:ascii="Times New Roman" w:hAnsi="Times New Roman" w:cs="Times New Roman"/>
          <w:sz w:val="24"/>
          <w:szCs w:val="24"/>
        </w:rPr>
      </w:pPr>
    </w:p>
    <w:p w14:paraId="50CCC140" w14:textId="77777777" w:rsidR="0082420D" w:rsidRDefault="00C04622" w:rsidP="009017B9">
      <w:pPr>
        <w:ind w:firstLine="720"/>
        <w:rPr>
          <w:rFonts w:ascii="Times New Roman" w:hAnsi="Times New Roman" w:cs="Times New Roman"/>
          <w:sz w:val="24"/>
          <w:szCs w:val="24"/>
        </w:rPr>
      </w:pPr>
      <w:r w:rsidRPr="008E075A">
        <w:rPr>
          <w:rFonts w:ascii="Times New Roman" w:hAnsi="Times New Roman" w:cs="Times New Roman"/>
          <w:sz w:val="24"/>
          <w:szCs w:val="24"/>
        </w:rPr>
        <w:tab/>
        <w:t xml:space="preserve">iv. For certification of fifteen percent energy savings, either </w:t>
      </w:r>
    </w:p>
    <w:p w14:paraId="5FBCAB5B" w14:textId="16E93F98" w:rsidR="0082420D" w:rsidRDefault="00C04622" w:rsidP="00D36E9D">
      <w:pPr>
        <w:ind w:left="1440" w:firstLine="720"/>
        <w:rPr>
          <w:rFonts w:ascii="Times New Roman" w:hAnsi="Times New Roman" w:cs="Times New Roman"/>
          <w:sz w:val="24"/>
          <w:szCs w:val="24"/>
        </w:rPr>
      </w:pPr>
      <w:r w:rsidRPr="008E075A">
        <w:rPr>
          <w:rFonts w:ascii="Times New Roman" w:hAnsi="Times New Roman" w:cs="Times New Roman"/>
          <w:sz w:val="24"/>
          <w:szCs w:val="24"/>
        </w:rPr>
        <w:t>1) ENERGY STAR Statement of Performance (SEP) for three calendar years evidencing a site EUI reduced fifteen percent (15%) compared to the highest weather-normalized EUI in the three referenced calendar years prior to the Tune-up date. Applicant must also provide</w:t>
      </w:r>
      <w:r w:rsidR="0082420D">
        <w:rPr>
          <w:rFonts w:ascii="Times New Roman" w:hAnsi="Times New Roman" w:cs="Times New Roman"/>
          <w:sz w:val="24"/>
          <w:szCs w:val="24"/>
        </w:rPr>
        <w:t xml:space="preserve"> </w:t>
      </w:r>
      <w:r w:rsidRPr="008E075A">
        <w:rPr>
          <w:rFonts w:ascii="Times New Roman" w:hAnsi="Times New Roman" w:cs="Times New Roman"/>
          <w:sz w:val="24"/>
          <w:szCs w:val="24"/>
        </w:rPr>
        <w:t>a cover letter, sufficient to the Office, verifying the accuracy of the reporting and signed by any person possessing the qualifications of a Specialist</w:t>
      </w:r>
      <w:proofErr w:type="gramStart"/>
      <w:r w:rsidRPr="008E075A">
        <w:rPr>
          <w:rFonts w:ascii="Times New Roman" w:hAnsi="Times New Roman" w:cs="Times New Roman"/>
          <w:sz w:val="24"/>
          <w:szCs w:val="24"/>
        </w:rPr>
        <w:t>;</w:t>
      </w:r>
      <w:r w:rsidR="0082420D">
        <w:rPr>
          <w:rFonts w:ascii="Times New Roman" w:hAnsi="Times New Roman" w:cs="Times New Roman"/>
          <w:sz w:val="24"/>
          <w:szCs w:val="24"/>
        </w:rPr>
        <w:t xml:space="preserve"> </w:t>
      </w:r>
      <w:r w:rsidRPr="008E075A">
        <w:rPr>
          <w:rFonts w:ascii="Times New Roman" w:hAnsi="Times New Roman" w:cs="Times New Roman"/>
          <w:sz w:val="24"/>
          <w:szCs w:val="24"/>
        </w:rPr>
        <w:t xml:space="preserve">  or</w:t>
      </w:r>
      <w:proofErr w:type="gramEnd"/>
      <w:r w:rsidRPr="008E075A">
        <w:rPr>
          <w:rFonts w:ascii="Times New Roman" w:hAnsi="Times New Roman" w:cs="Times New Roman"/>
          <w:sz w:val="24"/>
          <w:szCs w:val="24"/>
        </w:rPr>
        <w:t xml:space="preserve"> </w:t>
      </w:r>
    </w:p>
    <w:p w14:paraId="34472447" w14:textId="6CCF2734" w:rsidR="00C04622" w:rsidRDefault="00C04622" w:rsidP="008C631A">
      <w:pPr>
        <w:ind w:left="1440" w:firstLine="720"/>
        <w:rPr>
          <w:rFonts w:ascii="Times New Roman" w:hAnsi="Times New Roman" w:cs="Times New Roman"/>
          <w:sz w:val="24"/>
          <w:szCs w:val="24"/>
        </w:rPr>
      </w:pPr>
      <w:r w:rsidRPr="008E075A">
        <w:rPr>
          <w:rFonts w:ascii="Times New Roman" w:hAnsi="Times New Roman" w:cs="Times New Roman"/>
          <w:sz w:val="24"/>
          <w:szCs w:val="24"/>
        </w:rPr>
        <w:t>2)</w:t>
      </w:r>
      <w:r w:rsidR="009017B9">
        <w:rPr>
          <w:rFonts w:ascii="Times New Roman" w:hAnsi="Times New Roman" w:cs="Times New Roman"/>
          <w:sz w:val="24"/>
          <w:szCs w:val="24"/>
        </w:rPr>
        <w:t xml:space="preserve"> </w:t>
      </w:r>
      <w:r w:rsidRPr="008E075A">
        <w:rPr>
          <w:rFonts w:ascii="Times New Roman" w:hAnsi="Times New Roman" w:cs="Times New Roman"/>
          <w:sz w:val="24"/>
          <w:szCs w:val="24"/>
        </w:rPr>
        <w:t>For C</w:t>
      </w:r>
      <w:r w:rsidR="0082420D">
        <w:rPr>
          <w:rFonts w:ascii="Times New Roman" w:hAnsi="Times New Roman" w:cs="Times New Roman"/>
          <w:sz w:val="24"/>
          <w:szCs w:val="24"/>
        </w:rPr>
        <w:t>-</w:t>
      </w:r>
      <w:r w:rsidRPr="008E075A">
        <w:rPr>
          <w:rFonts w:ascii="Times New Roman" w:hAnsi="Times New Roman" w:cs="Times New Roman"/>
          <w:sz w:val="24"/>
          <w:szCs w:val="24"/>
        </w:rPr>
        <w:t xml:space="preserve">PACE certification, the verification </w:t>
      </w:r>
      <w:r w:rsidR="0082420D">
        <w:rPr>
          <w:rFonts w:ascii="Times New Roman" w:hAnsi="Times New Roman" w:cs="Times New Roman"/>
          <w:sz w:val="24"/>
          <w:szCs w:val="24"/>
        </w:rPr>
        <w:t>by the Philadelphia</w:t>
      </w:r>
      <w:r w:rsidRPr="008E075A">
        <w:rPr>
          <w:rFonts w:ascii="Times New Roman" w:hAnsi="Times New Roman" w:cs="Times New Roman"/>
          <w:sz w:val="24"/>
          <w:szCs w:val="24"/>
        </w:rPr>
        <w:t xml:space="preserve"> C</w:t>
      </w:r>
      <w:r w:rsidR="0082420D">
        <w:rPr>
          <w:rFonts w:ascii="Times New Roman" w:hAnsi="Times New Roman" w:cs="Times New Roman"/>
          <w:sz w:val="24"/>
          <w:szCs w:val="24"/>
        </w:rPr>
        <w:t>-</w:t>
      </w:r>
      <w:r w:rsidRPr="008E075A">
        <w:rPr>
          <w:rFonts w:ascii="Times New Roman" w:hAnsi="Times New Roman" w:cs="Times New Roman"/>
          <w:sz w:val="24"/>
          <w:szCs w:val="24"/>
        </w:rPr>
        <w:t xml:space="preserve">PACE </w:t>
      </w:r>
      <w:r w:rsidR="0082420D">
        <w:rPr>
          <w:rFonts w:ascii="Times New Roman" w:hAnsi="Times New Roman" w:cs="Times New Roman"/>
          <w:sz w:val="24"/>
          <w:szCs w:val="24"/>
        </w:rPr>
        <w:t>Program A</w:t>
      </w:r>
      <w:r w:rsidRPr="008E075A">
        <w:rPr>
          <w:rFonts w:ascii="Times New Roman" w:hAnsi="Times New Roman" w:cs="Times New Roman"/>
          <w:sz w:val="24"/>
          <w:szCs w:val="24"/>
        </w:rPr>
        <w:t>dministrator regarding the</w:t>
      </w:r>
      <w:r w:rsidR="0082420D">
        <w:rPr>
          <w:rFonts w:ascii="Times New Roman" w:hAnsi="Times New Roman" w:cs="Times New Roman"/>
          <w:sz w:val="24"/>
          <w:szCs w:val="24"/>
        </w:rPr>
        <w:t xml:space="preserve"> annual</w:t>
      </w:r>
      <w:r w:rsidRPr="008E075A">
        <w:rPr>
          <w:rFonts w:ascii="Times New Roman" w:hAnsi="Times New Roman" w:cs="Times New Roman"/>
          <w:sz w:val="24"/>
          <w:szCs w:val="24"/>
        </w:rPr>
        <w:t xml:space="preserve"> energy savings</w:t>
      </w:r>
      <w:r w:rsidR="0082420D">
        <w:rPr>
          <w:rFonts w:ascii="Times New Roman" w:hAnsi="Times New Roman" w:cs="Times New Roman"/>
          <w:sz w:val="24"/>
          <w:szCs w:val="24"/>
        </w:rPr>
        <w:t xml:space="preserve"> projection approved as part of the building’s C-PACE financing</w:t>
      </w:r>
      <w:r w:rsidRPr="008E075A">
        <w:rPr>
          <w:rFonts w:ascii="Times New Roman" w:hAnsi="Times New Roman" w:cs="Times New Roman"/>
          <w:sz w:val="24"/>
          <w:szCs w:val="24"/>
        </w:rPr>
        <w:t>, if C</w:t>
      </w:r>
      <w:r w:rsidR="0082420D">
        <w:rPr>
          <w:rFonts w:ascii="Times New Roman" w:hAnsi="Times New Roman" w:cs="Times New Roman"/>
          <w:sz w:val="24"/>
          <w:szCs w:val="24"/>
        </w:rPr>
        <w:t>-</w:t>
      </w:r>
      <w:r w:rsidRPr="008E075A">
        <w:rPr>
          <w:rFonts w:ascii="Times New Roman" w:hAnsi="Times New Roman" w:cs="Times New Roman"/>
          <w:sz w:val="24"/>
          <w:szCs w:val="24"/>
        </w:rPr>
        <w:t>PACE financing was used for the reduction.</w:t>
      </w:r>
    </w:p>
    <w:p w14:paraId="763EA222" w14:textId="77777777" w:rsidR="009017B9" w:rsidRPr="008E075A" w:rsidRDefault="009017B9" w:rsidP="009017B9">
      <w:pPr>
        <w:ind w:firstLine="720"/>
        <w:rPr>
          <w:rFonts w:ascii="Times New Roman" w:hAnsi="Times New Roman" w:cs="Times New Roman"/>
          <w:sz w:val="24"/>
          <w:szCs w:val="24"/>
        </w:rPr>
      </w:pPr>
    </w:p>
    <w:p w14:paraId="28478173" w14:textId="7E81706D" w:rsidR="00C04622" w:rsidRDefault="009017B9" w:rsidP="00C04622">
      <w:pPr>
        <w:ind w:firstLine="720"/>
        <w:rPr>
          <w:rFonts w:ascii="Times New Roman" w:hAnsi="Times New Roman" w:cs="Times New Roman"/>
          <w:sz w:val="24"/>
          <w:szCs w:val="24"/>
        </w:rPr>
      </w:pPr>
      <w:r>
        <w:rPr>
          <w:rFonts w:ascii="Times New Roman" w:hAnsi="Times New Roman" w:cs="Times New Roman"/>
          <w:sz w:val="24"/>
          <w:szCs w:val="24"/>
        </w:rPr>
        <w:tab/>
        <w:t>v.</w:t>
      </w:r>
      <w:r w:rsidR="00C04622" w:rsidRPr="008E075A">
        <w:rPr>
          <w:rFonts w:ascii="Times New Roman" w:hAnsi="Times New Roman" w:cs="Times New Roman"/>
          <w:sz w:val="24"/>
          <w:szCs w:val="24"/>
        </w:rPr>
        <w:t xml:space="preserve"> For energy </w:t>
      </w:r>
      <w:r w:rsidR="00C04622" w:rsidRPr="00417FDF">
        <w:rPr>
          <w:rFonts w:ascii="Times New Roman" w:hAnsi="Times New Roman" w:cs="Times New Roman"/>
          <w:sz w:val="24"/>
          <w:szCs w:val="24"/>
        </w:rPr>
        <w:t>audits</w:t>
      </w:r>
      <w:r w:rsidR="00FD23FD" w:rsidRPr="00417FDF">
        <w:rPr>
          <w:rFonts w:ascii="Times New Roman" w:hAnsi="Times New Roman" w:cs="Times New Roman"/>
          <w:sz w:val="24"/>
          <w:szCs w:val="24"/>
        </w:rPr>
        <w:t xml:space="preserve"> no less stringent than the ASHRAE Level II</w:t>
      </w:r>
      <w:r w:rsidR="000E0A79">
        <w:rPr>
          <w:rFonts w:ascii="Times New Roman" w:hAnsi="Times New Roman" w:cs="Times New Roman"/>
          <w:sz w:val="24"/>
          <w:szCs w:val="24"/>
        </w:rPr>
        <w:t xml:space="preserve"> </w:t>
      </w:r>
      <w:r w:rsidR="000E0A79" w:rsidRPr="000E0A79">
        <w:rPr>
          <w:rFonts w:ascii="Times New Roman" w:hAnsi="Times New Roman" w:cs="Times New Roman"/>
          <w:sz w:val="24"/>
          <w:szCs w:val="24"/>
        </w:rPr>
        <w:t>Commercial Building Energy Audit</w:t>
      </w:r>
      <w:r w:rsidR="00FD23FD" w:rsidRPr="00417FDF">
        <w:rPr>
          <w:rFonts w:ascii="Times New Roman" w:hAnsi="Times New Roman" w:cs="Times New Roman"/>
          <w:sz w:val="24"/>
          <w:szCs w:val="24"/>
        </w:rPr>
        <w:t xml:space="preserve"> standard</w:t>
      </w:r>
      <w:r w:rsidR="00C04622" w:rsidRPr="008E075A">
        <w:rPr>
          <w:rFonts w:ascii="Times New Roman" w:hAnsi="Times New Roman" w:cs="Times New Roman"/>
          <w:sz w:val="24"/>
          <w:szCs w:val="24"/>
        </w:rPr>
        <w:t xml:space="preserve">, the Covered Building’s owner shall submit to the Office an audit report and cover letter signed by the energy audit lead. Such cover letter shall list all </w:t>
      </w:r>
      <w:r w:rsidR="00FD23FD" w:rsidRPr="00FD23FD">
        <w:rPr>
          <w:rFonts w:ascii="Times New Roman" w:hAnsi="Times New Roman" w:cs="Times New Roman"/>
          <w:sz w:val="24"/>
          <w:szCs w:val="24"/>
        </w:rPr>
        <w:t>the no-cost/low-cost energy efficiency measures, defined as providing a simple payback of three years or less, identified in the audit</w:t>
      </w:r>
      <w:r w:rsidR="00C04622" w:rsidRPr="008E075A">
        <w:rPr>
          <w:rFonts w:ascii="Times New Roman" w:hAnsi="Times New Roman" w:cs="Times New Roman"/>
          <w:sz w:val="24"/>
          <w:szCs w:val="24"/>
        </w:rPr>
        <w:t>, and shall verify</w:t>
      </w:r>
      <w:r w:rsidR="001175F8">
        <w:rPr>
          <w:rFonts w:ascii="Times New Roman" w:hAnsi="Times New Roman" w:cs="Times New Roman"/>
          <w:sz w:val="24"/>
          <w:szCs w:val="24"/>
        </w:rPr>
        <w:t xml:space="preserve"> to the satisfaction of the OOS</w:t>
      </w:r>
      <w:r w:rsidR="00C04622" w:rsidRPr="008E075A">
        <w:rPr>
          <w:rFonts w:ascii="Times New Roman" w:hAnsi="Times New Roman" w:cs="Times New Roman"/>
          <w:sz w:val="24"/>
          <w:szCs w:val="24"/>
        </w:rPr>
        <w:t xml:space="preserve"> </w:t>
      </w:r>
      <w:r w:rsidR="00386B3F">
        <w:rPr>
          <w:rFonts w:ascii="Times New Roman" w:hAnsi="Times New Roman" w:cs="Times New Roman"/>
          <w:sz w:val="24"/>
          <w:szCs w:val="24"/>
        </w:rPr>
        <w:t xml:space="preserve">that </w:t>
      </w:r>
      <w:r w:rsidR="00C04622" w:rsidRPr="008E075A">
        <w:rPr>
          <w:rFonts w:ascii="Times New Roman" w:hAnsi="Times New Roman" w:cs="Times New Roman"/>
          <w:sz w:val="24"/>
          <w:szCs w:val="24"/>
        </w:rPr>
        <w:t>implementation of these measures</w:t>
      </w:r>
      <w:r w:rsidR="00386B3F">
        <w:rPr>
          <w:rFonts w:ascii="Times New Roman" w:hAnsi="Times New Roman" w:cs="Times New Roman"/>
          <w:sz w:val="24"/>
          <w:szCs w:val="24"/>
        </w:rPr>
        <w:t xml:space="preserve"> is complete by the building’s compliance deadline.</w:t>
      </w:r>
    </w:p>
    <w:p w14:paraId="59975EB9" w14:textId="77777777" w:rsidR="009017B9" w:rsidRDefault="009017B9" w:rsidP="009017B9">
      <w:pPr>
        <w:rPr>
          <w:rFonts w:ascii="Times New Roman" w:hAnsi="Times New Roman" w:cs="Times New Roman"/>
          <w:sz w:val="24"/>
          <w:szCs w:val="24"/>
        </w:rPr>
      </w:pPr>
    </w:p>
    <w:p w14:paraId="5A3DECF5" w14:textId="6AE9E795" w:rsidR="00C04622" w:rsidRPr="009017B9" w:rsidRDefault="00C04622" w:rsidP="009017B9">
      <w:pPr>
        <w:ind w:left="720" w:firstLine="720"/>
        <w:rPr>
          <w:rFonts w:ascii="Times New Roman" w:hAnsi="Times New Roman" w:cs="Times New Roman"/>
          <w:sz w:val="24"/>
          <w:szCs w:val="24"/>
        </w:rPr>
      </w:pPr>
      <w:r w:rsidRPr="009017B9">
        <w:rPr>
          <w:rFonts w:ascii="Times New Roman" w:hAnsi="Times New Roman" w:cs="Times New Roman"/>
          <w:sz w:val="24"/>
          <w:szCs w:val="24"/>
        </w:rPr>
        <w:t>vi. For exemption under Active Optimization efforts, HVAC</w:t>
      </w:r>
      <w:r w:rsidR="00563411">
        <w:rPr>
          <w:rFonts w:ascii="Times New Roman" w:hAnsi="Times New Roman" w:cs="Times New Roman"/>
          <w:sz w:val="24"/>
          <w:szCs w:val="24"/>
        </w:rPr>
        <w:t xml:space="preserve"> and mechanical systems related to</w:t>
      </w:r>
      <w:r w:rsidRPr="009017B9">
        <w:rPr>
          <w:rFonts w:ascii="Times New Roman" w:hAnsi="Times New Roman" w:cs="Times New Roman"/>
          <w:sz w:val="24"/>
          <w:szCs w:val="24"/>
        </w:rPr>
        <w:t xml:space="preserve"> domestic hot water must be covered</w:t>
      </w:r>
      <w:r w:rsidR="00563411">
        <w:rPr>
          <w:rFonts w:ascii="Times New Roman" w:hAnsi="Times New Roman" w:cs="Times New Roman"/>
          <w:sz w:val="24"/>
          <w:szCs w:val="24"/>
        </w:rPr>
        <w:t>. Base-building lighting must also be covered. The</w:t>
      </w:r>
      <w:r w:rsidRPr="009017B9">
        <w:rPr>
          <w:rFonts w:ascii="Times New Roman" w:hAnsi="Times New Roman" w:cs="Times New Roman"/>
          <w:sz w:val="24"/>
          <w:szCs w:val="24"/>
        </w:rPr>
        <w:t xml:space="preserve"> following documentation</w:t>
      </w:r>
      <w:r w:rsidR="00563411">
        <w:rPr>
          <w:rFonts w:ascii="Times New Roman" w:hAnsi="Times New Roman" w:cs="Times New Roman"/>
          <w:sz w:val="24"/>
          <w:szCs w:val="24"/>
        </w:rPr>
        <w:t xml:space="preserve"> is required</w:t>
      </w:r>
      <w:r w:rsidRPr="009017B9">
        <w:rPr>
          <w:rFonts w:ascii="Times New Roman" w:hAnsi="Times New Roman" w:cs="Times New Roman"/>
          <w:sz w:val="24"/>
          <w:szCs w:val="24"/>
        </w:rPr>
        <w:t>:</w:t>
      </w:r>
    </w:p>
    <w:p w14:paraId="14B862D6" w14:textId="77777777" w:rsidR="00C04622" w:rsidRPr="008E075A" w:rsidRDefault="00C04622" w:rsidP="00C04622">
      <w:pPr>
        <w:pStyle w:val="ListParagraph"/>
        <w:ind w:left="1440"/>
        <w:rPr>
          <w:rFonts w:ascii="Times New Roman" w:hAnsi="Times New Roman" w:cs="Times New Roman"/>
          <w:sz w:val="24"/>
          <w:szCs w:val="24"/>
        </w:rPr>
      </w:pPr>
    </w:p>
    <w:p w14:paraId="00B4763A" w14:textId="3B9A337A" w:rsidR="00C04622" w:rsidRPr="009017B9" w:rsidRDefault="009017B9" w:rsidP="009017B9">
      <w:pPr>
        <w:ind w:left="1440" w:firstLine="720"/>
        <w:rPr>
          <w:rFonts w:ascii="Times New Roman" w:hAnsi="Times New Roman" w:cs="Times New Roman"/>
          <w:sz w:val="24"/>
          <w:szCs w:val="24"/>
        </w:rPr>
      </w:pPr>
      <w:proofErr w:type="spellStart"/>
      <w:r w:rsidRPr="009017B9">
        <w:rPr>
          <w:rFonts w:ascii="Times New Roman" w:hAnsi="Times New Roman" w:cs="Times New Roman"/>
          <w:sz w:val="24"/>
          <w:szCs w:val="24"/>
        </w:rPr>
        <w:t>i</w:t>
      </w:r>
      <w:proofErr w:type="spellEnd"/>
      <w:r w:rsidR="00C04622" w:rsidRPr="009017B9">
        <w:rPr>
          <w:rFonts w:ascii="Times New Roman" w:hAnsi="Times New Roman" w:cs="Times New Roman"/>
          <w:sz w:val="24"/>
          <w:szCs w:val="24"/>
        </w:rPr>
        <w:t>. For manual ongoing commissioning:</w:t>
      </w:r>
    </w:p>
    <w:p w14:paraId="541DA05E" w14:textId="77777777" w:rsidR="009017B9" w:rsidRDefault="009017B9" w:rsidP="00C04622">
      <w:pPr>
        <w:ind w:left="1800" w:firstLine="720"/>
        <w:rPr>
          <w:rFonts w:ascii="Times New Roman" w:hAnsi="Times New Roman" w:cs="Times New Roman"/>
          <w:sz w:val="24"/>
          <w:szCs w:val="24"/>
        </w:rPr>
      </w:pPr>
    </w:p>
    <w:p w14:paraId="26283150" w14:textId="77777777" w:rsidR="00C04622" w:rsidRDefault="00C04622" w:rsidP="00C04622">
      <w:pPr>
        <w:ind w:left="1800" w:firstLine="720"/>
        <w:rPr>
          <w:rFonts w:ascii="Times New Roman" w:hAnsi="Times New Roman" w:cs="Times New Roman"/>
          <w:sz w:val="24"/>
          <w:szCs w:val="24"/>
        </w:rPr>
      </w:pPr>
      <w:proofErr w:type="spellStart"/>
      <w:r w:rsidRPr="008E075A">
        <w:rPr>
          <w:rFonts w:ascii="Times New Roman" w:hAnsi="Times New Roman" w:cs="Times New Roman"/>
          <w:sz w:val="24"/>
          <w:szCs w:val="24"/>
        </w:rPr>
        <w:t>A.On</w:t>
      </w:r>
      <w:proofErr w:type="spellEnd"/>
      <w:r w:rsidRPr="008E075A">
        <w:rPr>
          <w:rFonts w:ascii="Times New Roman" w:hAnsi="Times New Roman" w:cs="Times New Roman"/>
          <w:sz w:val="24"/>
          <w:szCs w:val="24"/>
        </w:rPr>
        <w:t>-going commissioning plan (with all the elements required in</w:t>
      </w:r>
      <w:hyperlink r:id="rId6" w:history="1">
        <w:r w:rsidRPr="009017B9">
          <w:rPr>
            <w:rStyle w:val="Hyperlink"/>
            <w:rFonts w:ascii="Times New Roman" w:hAnsi="Times New Roman" w:cs="Times New Roman"/>
            <w:color w:val="auto"/>
            <w:sz w:val="24"/>
            <w:szCs w:val="24"/>
            <w:u w:val="none"/>
          </w:rPr>
          <w:t xml:space="preserve"> LEED Operations and Maintenance v4 (or current edition) Ongoing Commissioning Energy and Atmosphere credit</w:t>
        </w:r>
      </w:hyperlink>
      <w:r w:rsidRPr="009017B9">
        <w:rPr>
          <w:rFonts w:ascii="Times New Roman" w:hAnsi="Times New Roman" w:cs="Times New Roman"/>
          <w:sz w:val="24"/>
          <w:szCs w:val="24"/>
        </w:rPr>
        <w:t>);</w:t>
      </w:r>
      <w:r w:rsidRPr="008E075A">
        <w:rPr>
          <w:rFonts w:ascii="Times New Roman" w:hAnsi="Times New Roman" w:cs="Times New Roman"/>
          <w:sz w:val="24"/>
          <w:szCs w:val="24"/>
        </w:rPr>
        <w:t xml:space="preserve"> and</w:t>
      </w:r>
    </w:p>
    <w:p w14:paraId="0F9E1F6D" w14:textId="77777777" w:rsidR="009017B9" w:rsidRPr="008E075A" w:rsidRDefault="009017B9" w:rsidP="00C04622">
      <w:pPr>
        <w:ind w:left="1800" w:firstLine="720"/>
        <w:rPr>
          <w:rFonts w:ascii="Times New Roman" w:hAnsi="Times New Roman" w:cs="Times New Roman"/>
          <w:sz w:val="24"/>
          <w:szCs w:val="24"/>
        </w:rPr>
      </w:pPr>
    </w:p>
    <w:p w14:paraId="6EF8A446" w14:textId="27EB7DB8" w:rsidR="00C04622" w:rsidRDefault="00C04622" w:rsidP="00C04622">
      <w:pPr>
        <w:pStyle w:val="ListParagraph"/>
        <w:ind w:left="2160" w:firstLine="360"/>
        <w:rPr>
          <w:rFonts w:ascii="Times New Roman" w:hAnsi="Times New Roman" w:cs="Times New Roman"/>
          <w:sz w:val="24"/>
          <w:szCs w:val="24"/>
        </w:rPr>
      </w:pPr>
      <w:proofErr w:type="spellStart"/>
      <w:r w:rsidRPr="008E075A">
        <w:rPr>
          <w:rFonts w:ascii="Times New Roman" w:hAnsi="Times New Roman" w:cs="Times New Roman"/>
          <w:sz w:val="24"/>
          <w:szCs w:val="24"/>
        </w:rPr>
        <w:t>B.</w:t>
      </w:r>
      <w:r w:rsidR="00563411">
        <w:rPr>
          <w:rFonts w:ascii="Times New Roman" w:hAnsi="Times New Roman" w:cs="Times New Roman"/>
          <w:sz w:val="24"/>
          <w:szCs w:val="24"/>
        </w:rPr>
        <w:t>One</w:t>
      </w:r>
      <w:proofErr w:type="spellEnd"/>
      <w:r w:rsidR="00563411" w:rsidRPr="008E075A">
        <w:rPr>
          <w:rFonts w:ascii="Times New Roman" w:hAnsi="Times New Roman" w:cs="Times New Roman"/>
          <w:sz w:val="24"/>
          <w:szCs w:val="24"/>
        </w:rPr>
        <w:t xml:space="preserve"> </w:t>
      </w:r>
      <w:r w:rsidRPr="008E075A">
        <w:rPr>
          <w:rFonts w:ascii="Times New Roman" w:hAnsi="Times New Roman" w:cs="Times New Roman"/>
          <w:sz w:val="24"/>
          <w:szCs w:val="24"/>
        </w:rPr>
        <w:t>year of quarterly</w:t>
      </w:r>
      <w:r w:rsidR="00133E8F">
        <w:rPr>
          <w:rFonts w:ascii="Times New Roman" w:hAnsi="Times New Roman" w:cs="Times New Roman"/>
          <w:sz w:val="24"/>
          <w:szCs w:val="24"/>
        </w:rPr>
        <w:t xml:space="preserve"> (or more frequent)</w:t>
      </w:r>
      <w:r w:rsidRPr="008E075A">
        <w:rPr>
          <w:rFonts w:ascii="Times New Roman" w:hAnsi="Times New Roman" w:cs="Times New Roman"/>
          <w:sz w:val="24"/>
          <w:szCs w:val="24"/>
        </w:rPr>
        <w:t xml:space="preserve"> reports that detail findings from efforts</w:t>
      </w:r>
      <w:r w:rsidR="00133E8F">
        <w:rPr>
          <w:rFonts w:ascii="Times New Roman" w:hAnsi="Times New Roman" w:cs="Times New Roman"/>
          <w:sz w:val="24"/>
          <w:szCs w:val="24"/>
        </w:rPr>
        <w:t xml:space="preserve"> and corrections made</w:t>
      </w:r>
      <w:r w:rsidRPr="008E075A">
        <w:rPr>
          <w:rFonts w:ascii="Times New Roman" w:hAnsi="Times New Roman" w:cs="Times New Roman"/>
          <w:sz w:val="24"/>
          <w:szCs w:val="24"/>
        </w:rPr>
        <w:t>.</w:t>
      </w:r>
    </w:p>
    <w:p w14:paraId="402853F1" w14:textId="77777777" w:rsidR="009017B9" w:rsidRPr="008E075A" w:rsidRDefault="009017B9" w:rsidP="00C04622">
      <w:pPr>
        <w:pStyle w:val="ListParagraph"/>
        <w:ind w:left="2160" w:firstLine="360"/>
        <w:rPr>
          <w:rFonts w:ascii="Times New Roman" w:hAnsi="Times New Roman" w:cs="Times New Roman"/>
          <w:sz w:val="24"/>
          <w:szCs w:val="24"/>
        </w:rPr>
      </w:pPr>
    </w:p>
    <w:p w14:paraId="53C31172" w14:textId="6AA634E3" w:rsidR="00C04622" w:rsidRPr="009017B9" w:rsidRDefault="009017B9" w:rsidP="009017B9">
      <w:pPr>
        <w:ind w:left="1440" w:firstLine="720"/>
        <w:rPr>
          <w:rFonts w:ascii="Times New Roman" w:hAnsi="Times New Roman" w:cs="Times New Roman"/>
          <w:sz w:val="24"/>
          <w:szCs w:val="24"/>
        </w:rPr>
      </w:pPr>
      <w:r>
        <w:rPr>
          <w:rFonts w:ascii="Times New Roman" w:hAnsi="Times New Roman" w:cs="Times New Roman"/>
          <w:sz w:val="24"/>
          <w:szCs w:val="24"/>
        </w:rPr>
        <w:t>ii</w:t>
      </w:r>
      <w:r w:rsidR="00C04622" w:rsidRPr="009017B9">
        <w:rPr>
          <w:rFonts w:ascii="Times New Roman" w:hAnsi="Times New Roman" w:cs="Times New Roman"/>
          <w:sz w:val="24"/>
          <w:szCs w:val="24"/>
        </w:rPr>
        <w:t>. Documentation for automated Active Optimization (</w:t>
      </w:r>
      <w:proofErr w:type="spellStart"/>
      <w:r w:rsidR="00C04622" w:rsidRPr="009017B9">
        <w:rPr>
          <w:rFonts w:ascii="Times New Roman" w:hAnsi="Times New Roman" w:cs="Times New Roman"/>
          <w:sz w:val="24"/>
          <w:szCs w:val="24"/>
        </w:rPr>
        <w:t>CCx</w:t>
      </w:r>
      <w:proofErr w:type="spellEnd"/>
      <w:r w:rsidR="00C04622" w:rsidRPr="009017B9">
        <w:rPr>
          <w:rFonts w:ascii="Times New Roman" w:hAnsi="Times New Roman" w:cs="Times New Roman"/>
          <w:sz w:val="24"/>
          <w:szCs w:val="24"/>
        </w:rPr>
        <w:t>)</w:t>
      </w:r>
    </w:p>
    <w:p w14:paraId="7D8115F5" w14:textId="77777777" w:rsidR="00C04622" w:rsidRPr="008E075A" w:rsidRDefault="00C04622" w:rsidP="00C04622">
      <w:pPr>
        <w:pStyle w:val="ListParagraph"/>
        <w:ind w:left="2160"/>
        <w:rPr>
          <w:rFonts w:ascii="Times New Roman" w:hAnsi="Times New Roman" w:cs="Times New Roman"/>
          <w:sz w:val="24"/>
          <w:szCs w:val="24"/>
        </w:rPr>
      </w:pPr>
    </w:p>
    <w:p w14:paraId="5C344626" w14:textId="77777777" w:rsidR="00C04622" w:rsidRPr="008E075A" w:rsidRDefault="00C04622" w:rsidP="00C04622">
      <w:pPr>
        <w:pStyle w:val="ListParagraph"/>
        <w:ind w:left="2160"/>
        <w:rPr>
          <w:rFonts w:ascii="Times New Roman" w:hAnsi="Times New Roman" w:cs="Times New Roman"/>
          <w:sz w:val="24"/>
          <w:szCs w:val="24"/>
        </w:rPr>
      </w:pPr>
      <w:r w:rsidRPr="008E075A">
        <w:rPr>
          <w:rFonts w:ascii="Times New Roman" w:hAnsi="Times New Roman" w:cs="Times New Roman"/>
          <w:sz w:val="24"/>
          <w:szCs w:val="24"/>
        </w:rPr>
        <w:t xml:space="preserve">       A. Description of the system(s); and</w:t>
      </w:r>
    </w:p>
    <w:p w14:paraId="5C73FA3E" w14:textId="77777777" w:rsidR="00C04622" w:rsidRPr="008E075A" w:rsidRDefault="00C04622" w:rsidP="00C04622">
      <w:pPr>
        <w:pStyle w:val="ListParagraph"/>
        <w:ind w:left="2160"/>
        <w:rPr>
          <w:rFonts w:ascii="Times New Roman" w:hAnsi="Times New Roman" w:cs="Times New Roman"/>
          <w:sz w:val="24"/>
          <w:szCs w:val="24"/>
        </w:rPr>
      </w:pPr>
    </w:p>
    <w:p w14:paraId="6853FF94" w14:textId="510D62B4" w:rsidR="00C04622" w:rsidRPr="008E075A" w:rsidRDefault="00C04622" w:rsidP="00C04622">
      <w:pPr>
        <w:pStyle w:val="ListParagraph"/>
        <w:ind w:left="2160"/>
        <w:rPr>
          <w:rFonts w:ascii="Times New Roman" w:hAnsi="Times New Roman" w:cs="Times New Roman"/>
          <w:sz w:val="24"/>
          <w:szCs w:val="24"/>
        </w:rPr>
      </w:pPr>
      <w:r w:rsidRPr="008E075A">
        <w:rPr>
          <w:rFonts w:ascii="Times New Roman" w:hAnsi="Times New Roman" w:cs="Times New Roman"/>
          <w:sz w:val="24"/>
          <w:szCs w:val="24"/>
        </w:rPr>
        <w:t xml:space="preserve">       B. </w:t>
      </w:r>
      <w:r w:rsidR="00563411">
        <w:rPr>
          <w:rFonts w:ascii="Times New Roman" w:hAnsi="Times New Roman" w:cs="Times New Roman"/>
          <w:sz w:val="24"/>
          <w:szCs w:val="24"/>
        </w:rPr>
        <w:t>One</w:t>
      </w:r>
      <w:r w:rsidR="00563411" w:rsidRPr="008E075A">
        <w:rPr>
          <w:rFonts w:ascii="Times New Roman" w:hAnsi="Times New Roman" w:cs="Times New Roman"/>
          <w:sz w:val="24"/>
          <w:szCs w:val="24"/>
        </w:rPr>
        <w:t xml:space="preserve"> </w:t>
      </w:r>
      <w:r w:rsidRPr="008E075A">
        <w:rPr>
          <w:rFonts w:ascii="Times New Roman" w:hAnsi="Times New Roman" w:cs="Times New Roman"/>
          <w:sz w:val="24"/>
          <w:szCs w:val="24"/>
        </w:rPr>
        <w:t>year of quarterly</w:t>
      </w:r>
      <w:r w:rsidR="00563411">
        <w:rPr>
          <w:rFonts w:ascii="Times New Roman" w:hAnsi="Times New Roman" w:cs="Times New Roman"/>
          <w:sz w:val="24"/>
          <w:szCs w:val="24"/>
        </w:rPr>
        <w:t xml:space="preserve"> (or more frequent)</w:t>
      </w:r>
      <w:r w:rsidRPr="008E075A">
        <w:rPr>
          <w:rFonts w:ascii="Times New Roman" w:hAnsi="Times New Roman" w:cs="Times New Roman"/>
          <w:sz w:val="24"/>
          <w:szCs w:val="24"/>
        </w:rPr>
        <w:t xml:space="preserve"> reports generated by the automated system. </w:t>
      </w:r>
      <w:r w:rsidR="00563411">
        <w:rPr>
          <w:rFonts w:ascii="Times New Roman" w:hAnsi="Times New Roman" w:cs="Times New Roman"/>
          <w:sz w:val="24"/>
          <w:szCs w:val="24"/>
        </w:rPr>
        <w:t>These</w:t>
      </w:r>
      <w:r w:rsidR="00563411" w:rsidRPr="008E075A">
        <w:rPr>
          <w:rFonts w:ascii="Times New Roman" w:hAnsi="Times New Roman" w:cs="Times New Roman"/>
          <w:sz w:val="24"/>
          <w:szCs w:val="24"/>
        </w:rPr>
        <w:t xml:space="preserve"> </w:t>
      </w:r>
      <w:r w:rsidRPr="008E075A">
        <w:rPr>
          <w:rFonts w:ascii="Times New Roman" w:hAnsi="Times New Roman" w:cs="Times New Roman"/>
          <w:sz w:val="24"/>
          <w:szCs w:val="24"/>
        </w:rPr>
        <w:t>report</w:t>
      </w:r>
      <w:r w:rsidR="00563411">
        <w:rPr>
          <w:rFonts w:ascii="Times New Roman" w:hAnsi="Times New Roman" w:cs="Times New Roman"/>
          <w:sz w:val="24"/>
          <w:szCs w:val="24"/>
        </w:rPr>
        <w:t>s</w:t>
      </w:r>
      <w:r w:rsidRPr="008E075A">
        <w:rPr>
          <w:rFonts w:ascii="Times New Roman" w:hAnsi="Times New Roman" w:cs="Times New Roman"/>
          <w:sz w:val="24"/>
          <w:szCs w:val="24"/>
        </w:rPr>
        <w:t xml:space="preserve"> must include the following:</w:t>
      </w:r>
    </w:p>
    <w:p w14:paraId="7980AF8C" w14:textId="062E116D" w:rsidR="00C04622" w:rsidRPr="008E075A" w:rsidRDefault="00C04622" w:rsidP="00C04622">
      <w:pPr>
        <w:pStyle w:val="ListParagraph"/>
        <w:numPr>
          <w:ilvl w:val="3"/>
          <w:numId w:val="3"/>
        </w:numPr>
        <w:spacing w:after="160" w:line="259" w:lineRule="auto"/>
        <w:rPr>
          <w:rFonts w:ascii="Times New Roman" w:hAnsi="Times New Roman" w:cs="Times New Roman"/>
          <w:sz w:val="24"/>
          <w:szCs w:val="24"/>
        </w:rPr>
      </w:pPr>
      <w:proofErr w:type="gramStart"/>
      <w:r w:rsidRPr="008E075A">
        <w:rPr>
          <w:rFonts w:ascii="Times New Roman" w:hAnsi="Times New Roman" w:cs="Times New Roman"/>
          <w:sz w:val="24"/>
          <w:szCs w:val="24"/>
        </w:rPr>
        <w:t>.Faults</w:t>
      </w:r>
      <w:proofErr w:type="gramEnd"/>
      <w:r w:rsidRPr="008E075A">
        <w:rPr>
          <w:rFonts w:ascii="Times New Roman" w:hAnsi="Times New Roman" w:cs="Times New Roman"/>
          <w:sz w:val="24"/>
          <w:szCs w:val="24"/>
        </w:rPr>
        <w:t>/issues detected</w:t>
      </w:r>
    </w:p>
    <w:p w14:paraId="58DB8572" w14:textId="506ADFE9" w:rsidR="00C04622" w:rsidRPr="008E075A" w:rsidRDefault="00C04622" w:rsidP="00C04622">
      <w:pPr>
        <w:pStyle w:val="ListParagraph"/>
        <w:numPr>
          <w:ilvl w:val="3"/>
          <w:numId w:val="3"/>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 xml:space="preserve">Date </w:t>
      </w:r>
      <w:r w:rsidR="00CD0341">
        <w:rPr>
          <w:rFonts w:ascii="Times New Roman" w:hAnsi="Times New Roman" w:cs="Times New Roman"/>
          <w:sz w:val="24"/>
          <w:szCs w:val="24"/>
        </w:rPr>
        <w:t>of</w:t>
      </w:r>
      <w:r w:rsidRPr="008E075A">
        <w:rPr>
          <w:rFonts w:ascii="Times New Roman" w:hAnsi="Times New Roman" w:cs="Times New Roman"/>
          <w:sz w:val="24"/>
          <w:szCs w:val="24"/>
        </w:rPr>
        <w:t xml:space="preserve"> each fault/issue was detected</w:t>
      </w:r>
    </w:p>
    <w:p w14:paraId="76675602" w14:textId="3CC976EF" w:rsidR="00C04622" w:rsidRPr="008E075A" w:rsidRDefault="00C04622" w:rsidP="00C04622">
      <w:pPr>
        <w:pStyle w:val="ListParagraph"/>
        <w:numPr>
          <w:ilvl w:val="3"/>
          <w:numId w:val="3"/>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Date of correction/repair for each fault/issue</w:t>
      </w:r>
      <w:r w:rsidR="00133E8F">
        <w:rPr>
          <w:rFonts w:ascii="Times New Roman" w:hAnsi="Times New Roman" w:cs="Times New Roman"/>
          <w:sz w:val="24"/>
          <w:szCs w:val="24"/>
        </w:rPr>
        <w:t>, if corrected/repair</w:t>
      </w:r>
      <w:r w:rsidR="00CD0341">
        <w:rPr>
          <w:rFonts w:ascii="Times New Roman" w:hAnsi="Times New Roman" w:cs="Times New Roman"/>
          <w:sz w:val="24"/>
          <w:szCs w:val="24"/>
        </w:rPr>
        <w:t>e</w:t>
      </w:r>
      <w:r w:rsidR="00133E8F">
        <w:rPr>
          <w:rFonts w:ascii="Times New Roman" w:hAnsi="Times New Roman" w:cs="Times New Roman"/>
          <w:sz w:val="24"/>
          <w:szCs w:val="24"/>
        </w:rPr>
        <w:t>d</w:t>
      </w:r>
      <w:r w:rsidRPr="008E075A">
        <w:rPr>
          <w:rFonts w:ascii="Times New Roman" w:hAnsi="Times New Roman" w:cs="Times New Roman"/>
          <w:sz w:val="24"/>
          <w:szCs w:val="24"/>
        </w:rPr>
        <w:t xml:space="preserve"> </w:t>
      </w:r>
    </w:p>
    <w:p w14:paraId="04AB0672" w14:textId="3361CA31" w:rsidR="00133E8F" w:rsidRDefault="00C04622" w:rsidP="00133E8F">
      <w:pPr>
        <w:pStyle w:val="ListParagraph"/>
        <w:numPr>
          <w:ilvl w:val="3"/>
          <w:numId w:val="3"/>
        </w:numPr>
        <w:spacing w:after="160" w:line="259" w:lineRule="auto"/>
        <w:rPr>
          <w:rFonts w:ascii="Times New Roman" w:hAnsi="Times New Roman" w:cs="Times New Roman"/>
          <w:sz w:val="24"/>
          <w:szCs w:val="24"/>
        </w:rPr>
      </w:pPr>
      <w:r w:rsidRPr="008E075A">
        <w:rPr>
          <w:rFonts w:ascii="Times New Roman" w:hAnsi="Times New Roman" w:cs="Times New Roman"/>
          <w:sz w:val="24"/>
          <w:szCs w:val="24"/>
        </w:rPr>
        <w:t>Staff/vendor notes on what was done to remedy each fault/issue (</w:t>
      </w:r>
      <w:r w:rsidR="00CD0341">
        <w:rPr>
          <w:rFonts w:ascii="Times New Roman" w:hAnsi="Times New Roman" w:cs="Times New Roman"/>
          <w:sz w:val="24"/>
          <w:szCs w:val="24"/>
        </w:rPr>
        <w:t>optional</w:t>
      </w:r>
      <w:r w:rsidRPr="008E075A">
        <w:rPr>
          <w:rFonts w:ascii="Times New Roman" w:hAnsi="Times New Roman" w:cs="Times New Roman"/>
          <w:sz w:val="24"/>
          <w:szCs w:val="24"/>
        </w:rPr>
        <w:t>)</w:t>
      </w:r>
    </w:p>
    <w:p w14:paraId="2C1D8EC5" w14:textId="63BE74CC" w:rsidR="00A6115D" w:rsidRPr="008C631A" w:rsidRDefault="00A6115D" w:rsidP="008C631A">
      <w:pPr>
        <w:spacing w:after="160" w:line="259" w:lineRule="auto"/>
        <w:ind w:left="2520"/>
        <w:rPr>
          <w:rFonts w:ascii="Times New Roman" w:hAnsi="Times New Roman" w:cs="Times New Roman"/>
          <w:sz w:val="24"/>
          <w:szCs w:val="24"/>
        </w:rPr>
      </w:pPr>
      <w:r w:rsidRPr="00A6115D">
        <w:rPr>
          <w:rFonts w:ascii="Times New Roman" w:hAnsi="Times New Roman" w:cs="Times New Roman"/>
          <w:sz w:val="24"/>
          <w:szCs w:val="24"/>
        </w:rPr>
        <w:t xml:space="preserve"> C</w:t>
      </w:r>
      <w:r>
        <w:rPr>
          <w:rFonts w:ascii="Times New Roman" w:hAnsi="Times New Roman" w:cs="Times New Roman"/>
          <w:sz w:val="24"/>
          <w:szCs w:val="24"/>
        </w:rPr>
        <w:t xml:space="preserve">. </w:t>
      </w:r>
      <w:r w:rsidRPr="008C631A">
        <w:rPr>
          <w:rFonts w:ascii="Times New Roman" w:hAnsi="Times New Roman" w:cs="Times New Roman"/>
          <w:sz w:val="24"/>
          <w:szCs w:val="24"/>
        </w:rPr>
        <w:t xml:space="preserve">If </w:t>
      </w:r>
      <w:r w:rsidR="00E74CF5">
        <w:rPr>
          <w:rFonts w:ascii="Times New Roman" w:hAnsi="Times New Roman" w:cs="Times New Roman"/>
          <w:sz w:val="24"/>
          <w:szCs w:val="24"/>
        </w:rPr>
        <w:t xml:space="preserve">base-building </w:t>
      </w:r>
      <w:r>
        <w:rPr>
          <w:rFonts w:ascii="Times New Roman" w:hAnsi="Times New Roman" w:cs="Times New Roman"/>
          <w:sz w:val="24"/>
          <w:szCs w:val="24"/>
        </w:rPr>
        <w:t xml:space="preserve">lighting systems are not </w:t>
      </w:r>
      <w:r w:rsidR="00E74CF5">
        <w:rPr>
          <w:rFonts w:ascii="Times New Roman" w:hAnsi="Times New Roman" w:cs="Times New Roman"/>
          <w:sz w:val="24"/>
          <w:szCs w:val="24"/>
        </w:rPr>
        <w:t xml:space="preserve">covered by the automated system, Owner may submit alternative documentation to demonstrate manual ongoing commissioning. This documentation can either be an ongoing commissioning plan and reports as referenced in </w:t>
      </w:r>
      <w:r w:rsidR="00E74CF5" w:rsidRPr="008C631A">
        <w:rPr>
          <w:rFonts w:asciiTheme="minorHAnsi" w:hAnsiTheme="minorHAnsi" w:cstheme="minorBidi"/>
        </w:rPr>
        <w:t xml:space="preserve">Section </w:t>
      </w:r>
      <w:r w:rsidR="00FA08D3">
        <w:rPr>
          <w:rFonts w:asciiTheme="minorHAnsi" w:hAnsiTheme="minorHAnsi" w:cstheme="minorBidi"/>
        </w:rPr>
        <w:t>7</w:t>
      </w:r>
      <w:r w:rsidR="00E74CF5" w:rsidRPr="008C631A">
        <w:rPr>
          <w:rFonts w:asciiTheme="minorHAnsi" w:hAnsiTheme="minorHAnsi" w:cstheme="minorBidi"/>
        </w:rPr>
        <w:t>.d.vi.i or</w:t>
      </w:r>
      <w:r w:rsidR="00E74CF5">
        <w:rPr>
          <w:rFonts w:asciiTheme="minorHAnsi" w:hAnsiTheme="minorHAnsi" w:cstheme="minorBidi"/>
          <w:b/>
          <w:bCs/>
        </w:rPr>
        <w:t xml:space="preserve"> </w:t>
      </w:r>
      <w:r w:rsidR="00E74CF5">
        <w:rPr>
          <w:rFonts w:asciiTheme="minorHAnsi" w:hAnsiTheme="minorHAnsi" w:cstheme="minorBidi"/>
        </w:rPr>
        <w:t xml:space="preserve">a </w:t>
      </w:r>
      <w:r w:rsidR="00FA08D3">
        <w:rPr>
          <w:rFonts w:asciiTheme="minorHAnsi" w:hAnsiTheme="minorHAnsi" w:cstheme="minorBidi"/>
        </w:rPr>
        <w:t xml:space="preserve">written </w:t>
      </w:r>
      <w:r w:rsidR="00E74CF5">
        <w:rPr>
          <w:rFonts w:asciiTheme="minorHAnsi" w:hAnsiTheme="minorHAnsi" w:cstheme="minorBidi"/>
        </w:rPr>
        <w:t>description of the protocol</w:t>
      </w:r>
      <w:r w:rsidR="00FA08D3">
        <w:rPr>
          <w:rFonts w:asciiTheme="minorHAnsi" w:hAnsiTheme="minorHAnsi" w:cstheme="minorBidi"/>
        </w:rPr>
        <w:t xml:space="preserve">s </w:t>
      </w:r>
      <w:r w:rsidR="00E74CF5">
        <w:rPr>
          <w:rFonts w:asciiTheme="minorHAnsi" w:hAnsiTheme="minorHAnsi" w:cstheme="minorBidi"/>
        </w:rPr>
        <w:t xml:space="preserve">to ensure lighting systems </w:t>
      </w:r>
      <w:r w:rsidR="00FA08D3">
        <w:rPr>
          <w:rFonts w:asciiTheme="minorHAnsi" w:hAnsiTheme="minorHAnsi" w:cstheme="minorBidi"/>
        </w:rPr>
        <w:t>and their use reflect the occupant and space needs.</w:t>
      </w:r>
    </w:p>
    <w:p w14:paraId="35BCA603" w14:textId="721DCB39" w:rsidR="00133E8F" w:rsidRDefault="00133E8F" w:rsidP="00CD0341">
      <w:pPr>
        <w:spacing w:after="160" w:line="259" w:lineRule="auto"/>
        <w:ind w:left="720" w:firstLine="720"/>
        <w:rPr>
          <w:rFonts w:ascii="Times New Roman" w:hAnsi="Times New Roman" w:cs="Times New Roman"/>
          <w:sz w:val="24"/>
          <w:szCs w:val="24"/>
        </w:rPr>
      </w:pPr>
      <w:r w:rsidRPr="008C631A">
        <w:rPr>
          <w:rFonts w:ascii="Times New Roman" w:hAnsi="Times New Roman" w:cs="Times New Roman"/>
          <w:sz w:val="24"/>
          <w:szCs w:val="24"/>
        </w:rPr>
        <w:t>iii.</w:t>
      </w:r>
      <w:r>
        <w:rPr>
          <w:rFonts w:ascii="Times New Roman" w:hAnsi="Times New Roman" w:cs="Times New Roman"/>
          <w:sz w:val="24"/>
          <w:szCs w:val="24"/>
        </w:rPr>
        <w:t xml:space="preserve"> Documentation must demonstrate that </w:t>
      </w:r>
      <w:r w:rsidR="001175F8">
        <w:rPr>
          <w:rFonts w:ascii="Times New Roman" w:hAnsi="Times New Roman" w:cs="Times New Roman"/>
          <w:sz w:val="24"/>
          <w:szCs w:val="24"/>
        </w:rPr>
        <w:t>the Owner</w:t>
      </w:r>
      <w:r>
        <w:rPr>
          <w:rFonts w:ascii="Times New Roman" w:hAnsi="Times New Roman" w:cs="Times New Roman"/>
          <w:sz w:val="24"/>
          <w:szCs w:val="24"/>
        </w:rPr>
        <w:t xml:space="preserve"> is making a reasonable effort to address faults/issues detected, specifically those that would require a corrective action through a tune-up. OOS reserves the right to reject an exemption request if reports demonstrate unsatisfactory maintenance of systems.</w:t>
      </w:r>
    </w:p>
    <w:p w14:paraId="1FC5C610" w14:textId="0998855C" w:rsidR="00133E8F" w:rsidRPr="008C631A" w:rsidRDefault="00133E8F" w:rsidP="008C631A">
      <w:pPr>
        <w:spacing w:after="160" w:line="259" w:lineRule="auto"/>
        <w:ind w:left="720"/>
        <w:rPr>
          <w:rFonts w:ascii="Times New Roman" w:hAnsi="Times New Roman" w:cs="Times New Roman"/>
          <w:sz w:val="24"/>
          <w:szCs w:val="24"/>
        </w:rPr>
      </w:pPr>
      <w:r>
        <w:rPr>
          <w:rFonts w:ascii="Times New Roman" w:hAnsi="Times New Roman" w:cs="Times New Roman"/>
          <w:sz w:val="24"/>
          <w:szCs w:val="24"/>
        </w:rPr>
        <w:t>iv. Building owners may petition OOS to accept alternative documentation for either manual ongoing commissioning or automated Active Optimization if the documentation from their efforts do not match the above definitions. A petition does not guarantee an exemption, and OOS reserves the right to reject</w:t>
      </w:r>
      <w:r w:rsidR="00CD0341">
        <w:rPr>
          <w:rFonts w:ascii="Times New Roman" w:hAnsi="Times New Roman" w:cs="Times New Roman"/>
          <w:sz w:val="24"/>
          <w:szCs w:val="24"/>
        </w:rPr>
        <w:t xml:space="preserve"> any and all petitions</w:t>
      </w:r>
      <w:r>
        <w:rPr>
          <w:rFonts w:ascii="Times New Roman" w:hAnsi="Times New Roman" w:cs="Times New Roman"/>
          <w:sz w:val="24"/>
          <w:szCs w:val="24"/>
        </w:rPr>
        <w:t>.</w:t>
      </w:r>
    </w:p>
    <w:p w14:paraId="5180BA24" w14:textId="322E9FDF" w:rsidR="00C04622" w:rsidRPr="008E075A" w:rsidRDefault="009017B9" w:rsidP="00C04622">
      <w:pPr>
        <w:rPr>
          <w:rFonts w:ascii="Times New Roman" w:hAnsi="Times New Roman" w:cs="Times New Roman"/>
          <w:sz w:val="24"/>
          <w:szCs w:val="24"/>
        </w:rPr>
      </w:pPr>
      <w:r>
        <w:rPr>
          <w:rFonts w:ascii="Times New Roman" w:hAnsi="Times New Roman" w:cs="Times New Roman"/>
          <w:sz w:val="24"/>
          <w:szCs w:val="24"/>
        </w:rPr>
        <w:tab/>
        <w:t>e</w:t>
      </w:r>
      <w:r w:rsidR="00C04622" w:rsidRPr="008E075A">
        <w:rPr>
          <w:rFonts w:ascii="Times New Roman" w:hAnsi="Times New Roman" w:cs="Times New Roman"/>
          <w:sz w:val="24"/>
          <w:szCs w:val="24"/>
        </w:rPr>
        <w:t>. Other Exemptions Authorized by the Office. Pursuant to Section 9-3403(3)(e) of the Philadelphia Code, OOS is authorized to promulgate any other such regulations as it sees fit to offer exemptions to the requirements set forth in the enabling ordinance. The Office therefore shall also consider exemptions for the following criteria:</w:t>
      </w:r>
    </w:p>
    <w:p w14:paraId="41B80946" w14:textId="77777777" w:rsidR="009017B9"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r>
    </w:p>
    <w:p w14:paraId="5271DF4D" w14:textId="4C48A569" w:rsidR="00C04622" w:rsidRPr="008E075A" w:rsidRDefault="00C04622" w:rsidP="009017B9">
      <w:pPr>
        <w:ind w:left="720" w:firstLine="720"/>
        <w:rPr>
          <w:rFonts w:ascii="Times New Roman" w:hAnsi="Times New Roman" w:cs="Times New Roman"/>
          <w:sz w:val="24"/>
          <w:szCs w:val="24"/>
        </w:rPr>
      </w:pP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Low Site EUI</w:t>
      </w:r>
    </w:p>
    <w:p w14:paraId="19FE84F7" w14:textId="77777777" w:rsidR="009017B9"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r>
      <w:r w:rsidRPr="008E075A">
        <w:rPr>
          <w:rFonts w:ascii="Times New Roman" w:hAnsi="Times New Roman" w:cs="Times New Roman"/>
          <w:sz w:val="24"/>
          <w:szCs w:val="24"/>
        </w:rPr>
        <w:tab/>
      </w:r>
    </w:p>
    <w:p w14:paraId="75908036" w14:textId="543FA6B6" w:rsidR="00C04622" w:rsidRDefault="00C04622" w:rsidP="009017B9">
      <w:pPr>
        <w:ind w:left="1440" w:firstLine="720"/>
        <w:rPr>
          <w:rFonts w:ascii="Times New Roman" w:hAnsi="Times New Roman" w:cs="Times New Roman"/>
          <w:sz w:val="24"/>
          <w:szCs w:val="24"/>
        </w:rPr>
      </w:pPr>
      <w:r w:rsidRPr="008E075A">
        <w:rPr>
          <w:rFonts w:ascii="Times New Roman" w:hAnsi="Times New Roman" w:cs="Times New Roman"/>
          <w:sz w:val="24"/>
          <w:szCs w:val="24"/>
        </w:rPr>
        <w:t xml:space="preserve">1. Weather-normalized site EUI shall be equal to or less than twenty (20) </w:t>
      </w:r>
      <w:proofErr w:type="spellStart"/>
      <w:r w:rsidRPr="008E075A">
        <w:rPr>
          <w:rFonts w:ascii="Times New Roman" w:hAnsi="Times New Roman" w:cs="Times New Roman"/>
          <w:sz w:val="24"/>
          <w:szCs w:val="24"/>
        </w:rPr>
        <w:t>kBTU</w:t>
      </w:r>
      <w:proofErr w:type="spellEnd"/>
      <w:r w:rsidRPr="008E075A">
        <w:rPr>
          <w:rFonts w:ascii="Times New Roman" w:hAnsi="Times New Roman" w:cs="Times New Roman"/>
          <w:sz w:val="24"/>
          <w:szCs w:val="24"/>
        </w:rPr>
        <w:t>/</w:t>
      </w:r>
      <w:proofErr w:type="spellStart"/>
      <w:r w:rsidRPr="008E075A">
        <w:rPr>
          <w:rFonts w:ascii="Times New Roman" w:hAnsi="Times New Roman" w:cs="Times New Roman"/>
          <w:sz w:val="24"/>
          <w:szCs w:val="24"/>
        </w:rPr>
        <w:t>sq</w:t>
      </w:r>
      <w:proofErr w:type="spellEnd"/>
      <w:r w:rsidRPr="008E075A">
        <w:rPr>
          <w:rFonts w:ascii="Times New Roman" w:hAnsi="Times New Roman" w:cs="Times New Roman"/>
          <w:sz w:val="24"/>
          <w:szCs w:val="24"/>
        </w:rPr>
        <w:t xml:space="preserve"> for at least two of the three preceding calendar years to the Compliance Date.</w:t>
      </w:r>
    </w:p>
    <w:p w14:paraId="28EB69B0" w14:textId="77777777" w:rsidR="009017B9" w:rsidRPr="008E075A" w:rsidRDefault="009017B9" w:rsidP="009017B9">
      <w:pPr>
        <w:ind w:left="1440" w:firstLine="720"/>
        <w:rPr>
          <w:rFonts w:ascii="Times New Roman" w:hAnsi="Times New Roman" w:cs="Times New Roman"/>
          <w:sz w:val="24"/>
          <w:szCs w:val="24"/>
        </w:rPr>
      </w:pPr>
    </w:p>
    <w:p w14:paraId="43937F65" w14:textId="41195EE9" w:rsidR="00C04622" w:rsidRDefault="00C04622" w:rsidP="009017B9">
      <w:pPr>
        <w:ind w:left="1440" w:firstLine="720"/>
        <w:rPr>
          <w:rFonts w:ascii="Times New Roman" w:hAnsi="Times New Roman" w:cs="Times New Roman"/>
          <w:sz w:val="24"/>
          <w:szCs w:val="24"/>
        </w:rPr>
      </w:pPr>
      <w:r w:rsidRPr="008E075A">
        <w:rPr>
          <w:rFonts w:ascii="Times New Roman" w:hAnsi="Times New Roman" w:cs="Times New Roman"/>
          <w:sz w:val="24"/>
          <w:szCs w:val="24"/>
        </w:rPr>
        <w:t>2</w:t>
      </w:r>
      <w:r w:rsidR="009017B9">
        <w:rPr>
          <w:rFonts w:ascii="Times New Roman" w:hAnsi="Times New Roman" w:cs="Times New Roman"/>
          <w:sz w:val="24"/>
          <w:szCs w:val="24"/>
        </w:rPr>
        <w:t>.</w:t>
      </w:r>
      <w:r w:rsidRPr="008E075A">
        <w:rPr>
          <w:rFonts w:ascii="Times New Roman" w:hAnsi="Times New Roman" w:cs="Times New Roman"/>
          <w:sz w:val="24"/>
          <w:szCs w:val="24"/>
        </w:rPr>
        <w:t xml:space="preserve"> To qualify for a Low Site EUI exemption, owner(s) shall submit to the Director (1) a copy of the Statement of Energy Performance (SEP) for each of the qualifying years and (2) written validation of the SEP data by any person with Specialist qualifications. The Director shall, at his or her discretion, approve or deny this exemption, and no exemption is available as-of-right.</w:t>
      </w:r>
    </w:p>
    <w:p w14:paraId="45CB80B4" w14:textId="2B155E19" w:rsidR="0082420D" w:rsidRDefault="0082420D" w:rsidP="00D36E9D">
      <w:pPr>
        <w:rPr>
          <w:rFonts w:ascii="Times New Roman" w:hAnsi="Times New Roman" w:cs="Times New Roman"/>
          <w:sz w:val="24"/>
          <w:szCs w:val="24"/>
        </w:rPr>
      </w:pPr>
    </w:p>
    <w:p w14:paraId="34F5132B" w14:textId="462F6508" w:rsidR="0082420D" w:rsidRDefault="0082420D" w:rsidP="00D36E9D">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commentRangeStart w:id="1"/>
      <w:r>
        <w:rPr>
          <w:rFonts w:ascii="Times New Roman" w:hAnsi="Times New Roman" w:cs="Times New Roman"/>
          <w:sz w:val="24"/>
          <w:szCs w:val="24"/>
        </w:rPr>
        <w:t>ii. 2019 ENERGY STAR Certification</w:t>
      </w:r>
      <w:r w:rsidR="0010277B">
        <w:rPr>
          <w:rFonts w:ascii="Times New Roman" w:hAnsi="Times New Roman" w:cs="Times New Roman"/>
          <w:sz w:val="24"/>
          <w:szCs w:val="24"/>
        </w:rPr>
        <w:t>. Pursuant to and consistent with the provisions of Section 9-3403(3), the Director hereby allows for Tune Ups scheduled in calendar years 2021 and 2022:</w:t>
      </w:r>
    </w:p>
    <w:p w14:paraId="5E7B9AE0" w14:textId="012E1332" w:rsidR="0082420D" w:rsidRDefault="0082420D" w:rsidP="00D36E9D">
      <w:pPr>
        <w:pStyle w:val="ListParagraph"/>
        <w:numPr>
          <w:ilvl w:val="0"/>
          <w:numId w:val="8"/>
        </w:numPr>
        <w:rPr>
          <w:rFonts w:ascii="Times New Roman" w:hAnsi="Times New Roman" w:cs="Times New Roman"/>
          <w:sz w:val="24"/>
          <w:szCs w:val="24"/>
        </w:rPr>
      </w:pPr>
      <w:r w:rsidRPr="0082420D">
        <w:rPr>
          <w:rFonts w:ascii="Times New Roman" w:hAnsi="Times New Roman" w:cs="Times New Roman"/>
          <w:sz w:val="24"/>
          <w:szCs w:val="24"/>
        </w:rPr>
        <w:t>A</w:t>
      </w:r>
      <w:r>
        <w:rPr>
          <w:rFonts w:ascii="Times New Roman" w:hAnsi="Times New Roman" w:cs="Times New Roman"/>
          <w:sz w:val="24"/>
          <w:szCs w:val="24"/>
        </w:rPr>
        <w:t xml:space="preserve"> 2019 </w:t>
      </w:r>
      <w:r w:rsidRPr="0082420D">
        <w:rPr>
          <w:rFonts w:ascii="Times New Roman" w:hAnsi="Times New Roman" w:cs="Times New Roman"/>
          <w:sz w:val="24"/>
          <w:szCs w:val="24"/>
        </w:rPr>
        <w:t>ENERGY STAR Certification</w:t>
      </w:r>
      <w:r>
        <w:rPr>
          <w:rFonts w:ascii="Times New Roman" w:hAnsi="Times New Roman" w:cs="Times New Roman"/>
          <w:sz w:val="24"/>
          <w:szCs w:val="24"/>
        </w:rPr>
        <w:t xml:space="preserve"> will be accepted for buildings with a Compliance Deadline in 2021 and 2022 to be exempt from the tune-up requirement. </w:t>
      </w:r>
      <w:r w:rsidRPr="0082420D">
        <w:rPr>
          <w:rFonts w:ascii="Times New Roman" w:hAnsi="Times New Roman" w:cs="Times New Roman"/>
          <w:sz w:val="24"/>
          <w:szCs w:val="24"/>
        </w:rPr>
        <w:t xml:space="preserve"> </w:t>
      </w:r>
    </w:p>
    <w:p w14:paraId="4A42B63E" w14:textId="13F54373" w:rsidR="0082420D" w:rsidRDefault="0082420D" w:rsidP="008C631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To qualify for the 2019 ENERGY START </w:t>
      </w:r>
      <w:r w:rsidRPr="0082420D">
        <w:rPr>
          <w:rFonts w:ascii="Times New Roman" w:hAnsi="Times New Roman" w:cs="Times New Roman"/>
          <w:sz w:val="24"/>
          <w:szCs w:val="24"/>
        </w:rPr>
        <w:t>exemption</w:t>
      </w:r>
      <w:r>
        <w:rPr>
          <w:rFonts w:ascii="Times New Roman" w:hAnsi="Times New Roman" w:cs="Times New Roman"/>
          <w:sz w:val="24"/>
          <w:szCs w:val="24"/>
        </w:rPr>
        <w:t>, owner(s)</w:t>
      </w:r>
      <w:r w:rsidRPr="0082420D">
        <w:rPr>
          <w:rFonts w:ascii="Times New Roman" w:hAnsi="Times New Roman" w:cs="Times New Roman"/>
          <w:sz w:val="24"/>
          <w:szCs w:val="24"/>
        </w:rPr>
        <w:t xml:space="preserve"> shall </w:t>
      </w:r>
      <w:proofErr w:type="spellStart"/>
      <w:r>
        <w:rPr>
          <w:rFonts w:ascii="Times New Roman" w:hAnsi="Times New Roman" w:cs="Times New Roman"/>
          <w:sz w:val="24"/>
          <w:szCs w:val="24"/>
        </w:rPr>
        <w:t>sumbit</w:t>
      </w:r>
      <w:proofErr w:type="spellEnd"/>
      <w:r w:rsidRPr="0082420D">
        <w:rPr>
          <w:rFonts w:ascii="Times New Roman" w:hAnsi="Times New Roman" w:cs="Times New Roman"/>
          <w:sz w:val="24"/>
          <w:szCs w:val="24"/>
        </w:rPr>
        <w:t xml:space="preserve"> (1) either a copy of the EPA-issued ENERGY STAR Certificate of Achievement or (2) the congratulatory email confirming certification; and either (1) a copy of the application for Certification or (2) the Statement of Energy Performance (SEP) with the same year-ending date as the application.</w:t>
      </w:r>
      <w:commentRangeEnd w:id="1"/>
      <w:r w:rsidR="003F6C3A">
        <w:rPr>
          <w:rStyle w:val="CommentReference"/>
        </w:rPr>
        <w:commentReference w:id="1"/>
      </w:r>
    </w:p>
    <w:p w14:paraId="2343C58A" w14:textId="79FE0C9B" w:rsidR="0010277B" w:rsidRPr="008C631A" w:rsidRDefault="0010277B" w:rsidP="008C631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This provision shall expire on December 31, 2022.</w:t>
      </w:r>
    </w:p>
    <w:p w14:paraId="2848692C" w14:textId="77777777" w:rsidR="009017B9" w:rsidRPr="008E075A" w:rsidRDefault="009017B9" w:rsidP="00C04622">
      <w:pPr>
        <w:rPr>
          <w:rFonts w:ascii="Times New Roman" w:hAnsi="Times New Roman" w:cs="Times New Roman"/>
          <w:sz w:val="24"/>
          <w:szCs w:val="24"/>
        </w:rPr>
      </w:pPr>
    </w:p>
    <w:p w14:paraId="53A2CD0D" w14:textId="39944746" w:rsidR="00C04622" w:rsidRPr="008E075A" w:rsidRDefault="00C04622" w:rsidP="008C631A">
      <w:pPr>
        <w:rPr>
          <w:rFonts w:ascii="Times New Roman" w:hAnsi="Times New Roman" w:cs="Times New Roman"/>
          <w:sz w:val="24"/>
          <w:szCs w:val="24"/>
        </w:rPr>
      </w:pPr>
      <w:r w:rsidRPr="008E075A">
        <w:rPr>
          <w:rFonts w:ascii="Times New Roman" w:hAnsi="Times New Roman" w:cs="Times New Roman"/>
          <w:sz w:val="24"/>
          <w:szCs w:val="24"/>
        </w:rPr>
        <w:tab/>
      </w:r>
    </w:p>
    <w:p w14:paraId="05E14DF2" w14:textId="77777777" w:rsidR="009017B9" w:rsidRDefault="009017B9" w:rsidP="00C04622">
      <w:pPr>
        <w:ind w:firstLine="720"/>
        <w:rPr>
          <w:rFonts w:ascii="Times New Roman" w:hAnsi="Times New Roman" w:cs="Times New Roman"/>
          <w:sz w:val="24"/>
          <w:szCs w:val="24"/>
        </w:rPr>
      </w:pPr>
    </w:p>
    <w:p w14:paraId="27A15E4A" w14:textId="27E09768" w:rsidR="00C04622" w:rsidRDefault="009017B9" w:rsidP="00C04622">
      <w:pPr>
        <w:ind w:firstLine="720"/>
        <w:rPr>
          <w:rFonts w:ascii="Times New Roman" w:hAnsi="Times New Roman" w:cs="Times New Roman"/>
          <w:sz w:val="24"/>
          <w:szCs w:val="24"/>
        </w:rPr>
      </w:pPr>
      <w:r>
        <w:rPr>
          <w:rFonts w:ascii="Times New Roman" w:hAnsi="Times New Roman" w:cs="Times New Roman"/>
          <w:sz w:val="24"/>
          <w:szCs w:val="24"/>
        </w:rPr>
        <w:t>f</w:t>
      </w:r>
      <w:r w:rsidR="00C04622" w:rsidRPr="008E075A">
        <w:rPr>
          <w:rFonts w:ascii="Times New Roman" w:hAnsi="Times New Roman" w:cs="Times New Roman"/>
          <w:sz w:val="24"/>
          <w:szCs w:val="24"/>
        </w:rPr>
        <w:t xml:space="preserve">. Extensions. </w:t>
      </w:r>
    </w:p>
    <w:p w14:paraId="6E1D37D0" w14:textId="77777777" w:rsidR="009017B9" w:rsidRPr="008E075A" w:rsidRDefault="009017B9" w:rsidP="00C04622">
      <w:pPr>
        <w:ind w:firstLine="720"/>
        <w:rPr>
          <w:rFonts w:ascii="Times New Roman" w:hAnsi="Times New Roman" w:cs="Times New Roman"/>
          <w:sz w:val="24"/>
          <w:szCs w:val="24"/>
        </w:rPr>
      </w:pPr>
    </w:p>
    <w:p w14:paraId="74AB0C4E" w14:textId="4E10785B" w:rsidR="00C04622" w:rsidRDefault="00C04622" w:rsidP="00C04622">
      <w:pPr>
        <w:ind w:left="720" w:firstLine="720"/>
        <w:rPr>
          <w:rFonts w:ascii="Times New Roman" w:hAnsi="Times New Roman" w:cs="Times New Roman"/>
          <w:sz w:val="24"/>
          <w:szCs w:val="24"/>
        </w:rPr>
      </w:pP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Building owners pursuing the fifteen percent energy saving exemption above may request a non-guaranteed extension of one (1) year to submit the required documentation. No sooner than one hundred eighty (180) days prior to the Compliance Deadline, the owner shall provide in writing and in a form acceptable to the OOS, evidence sufficient to the OOS that the building will meet the exemption requirement, and if the application fails the Covered Building shall conduct a Tune-up within one (1) year of the date of its exemption denial.</w:t>
      </w:r>
    </w:p>
    <w:p w14:paraId="68E60CCE" w14:textId="060B16A6" w:rsidR="00417FDF" w:rsidRDefault="00417FDF" w:rsidP="00C04622">
      <w:pPr>
        <w:ind w:left="720" w:firstLine="720"/>
        <w:rPr>
          <w:rFonts w:ascii="Times New Roman" w:hAnsi="Times New Roman" w:cs="Times New Roman"/>
          <w:sz w:val="24"/>
          <w:szCs w:val="24"/>
        </w:rPr>
      </w:pPr>
    </w:p>
    <w:p w14:paraId="72708F3B" w14:textId="59769DCF" w:rsidR="00417FDF" w:rsidRPr="00417FDF" w:rsidRDefault="00417FDF" w:rsidP="00C04622">
      <w:pPr>
        <w:ind w:left="720" w:firstLine="720"/>
        <w:rPr>
          <w:rFonts w:ascii="Times New Roman" w:hAnsi="Times New Roman" w:cs="Times New Roman"/>
          <w:sz w:val="24"/>
          <w:szCs w:val="24"/>
        </w:rPr>
      </w:pPr>
      <w:r>
        <w:rPr>
          <w:rFonts w:ascii="Times New Roman" w:hAnsi="Times New Roman" w:cs="Times New Roman"/>
          <w:sz w:val="24"/>
          <w:szCs w:val="24"/>
        </w:rPr>
        <w:t xml:space="preserve">ii. </w:t>
      </w:r>
      <w:r w:rsidRPr="00417FDF">
        <w:rPr>
          <w:rFonts w:ascii="Times New Roman" w:hAnsi="Times New Roman" w:cs="Times New Roman"/>
          <w:sz w:val="24"/>
          <w:szCs w:val="24"/>
        </w:rPr>
        <w:t xml:space="preserve">Building owners pursuing the energy audits no less stringent than the ASHRAE Level II </w:t>
      </w:r>
      <w:r w:rsidR="000E0A79" w:rsidRPr="000E0A79">
        <w:rPr>
          <w:rFonts w:ascii="Times New Roman" w:hAnsi="Times New Roman" w:cs="Times New Roman"/>
          <w:sz w:val="24"/>
          <w:szCs w:val="24"/>
        </w:rPr>
        <w:t>Commercial Building Energy Audit</w:t>
      </w:r>
      <w:r w:rsidR="000E0A79">
        <w:rPr>
          <w:rFonts w:ascii="Times New Roman" w:hAnsi="Times New Roman" w:cs="Times New Roman"/>
          <w:sz w:val="24"/>
          <w:szCs w:val="24"/>
        </w:rPr>
        <w:t xml:space="preserve"> </w:t>
      </w:r>
      <w:r w:rsidRPr="00417FDF">
        <w:rPr>
          <w:rFonts w:ascii="Times New Roman" w:hAnsi="Times New Roman" w:cs="Times New Roman"/>
          <w:sz w:val="24"/>
          <w:szCs w:val="24"/>
        </w:rPr>
        <w:t>standard</w:t>
      </w:r>
      <w:r>
        <w:rPr>
          <w:rFonts w:ascii="Times New Roman" w:hAnsi="Times New Roman" w:cs="Times New Roman"/>
          <w:sz w:val="24"/>
          <w:szCs w:val="24"/>
        </w:rPr>
        <w:t xml:space="preserve"> exemption</w:t>
      </w:r>
      <w:r w:rsidRPr="00417FDF">
        <w:rPr>
          <w:rFonts w:ascii="Times New Roman" w:hAnsi="Times New Roman" w:cs="Times New Roman"/>
          <w:sz w:val="24"/>
          <w:szCs w:val="24"/>
        </w:rPr>
        <w:t xml:space="preserve"> </w:t>
      </w:r>
      <w:r w:rsidRPr="008E075A">
        <w:rPr>
          <w:rFonts w:ascii="Times New Roman" w:hAnsi="Times New Roman" w:cs="Times New Roman"/>
          <w:sz w:val="24"/>
          <w:szCs w:val="24"/>
        </w:rPr>
        <w:t>may request a non-guaranteed extension of one (1) year to submit the required documentation</w:t>
      </w:r>
      <w:r>
        <w:rPr>
          <w:rFonts w:ascii="Times New Roman" w:hAnsi="Times New Roman" w:cs="Times New Roman"/>
          <w:sz w:val="24"/>
          <w:szCs w:val="24"/>
        </w:rPr>
        <w:t xml:space="preserve"> related to the implementation of </w:t>
      </w:r>
      <w:r w:rsidRPr="00FD23FD">
        <w:rPr>
          <w:rFonts w:ascii="Times New Roman" w:hAnsi="Times New Roman" w:cs="Times New Roman"/>
          <w:sz w:val="24"/>
          <w:szCs w:val="24"/>
        </w:rPr>
        <w:t>the no-cost/low-cost energy efficiency measures, defined as providing a simple payback of three years or less, identified in the audit</w:t>
      </w:r>
      <w:r>
        <w:rPr>
          <w:rFonts w:ascii="Times New Roman" w:hAnsi="Times New Roman" w:cs="Times New Roman"/>
          <w:sz w:val="24"/>
          <w:szCs w:val="24"/>
        </w:rPr>
        <w:t>.</w:t>
      </w:r>
      <w:r w:rsidRPr="00417FDF">
        <w:rPr>
          <w:rFonts w:ascii="Times New Roman" w:hAnsi="Times New Roman" w:cs="Times New Roman"/>
          <w:sz w:val="24"/>
          <w:szCs w:val="24"/>
        </w:rPr>
        <w:t xml:space="preserve"> </w:t>
      </w:r>
      <w:r w:rsidRPr="008E075A">
        <w:rPr>
          <w:rFonts w:ascii="Times New Roman" w:hAnsi="Times New Roman" w:cs="Times New Roman"/>
          <w:sz w:val="24"/>
          <w:szCs w:val="24"/>
        </w:rPr>
        <w:t>No sooner than one hundred eighty (180) days prior to the Compliance Deadline, the owner shall provide in writing and in a form acceptable to the OOS, evidence sufficient to the OOS that the building will meet the exemption requirement, and if the application fails the Covered Building shall conduct a Tune-up within one (1) year of the date of its exemption denial.</w:t>
      </w:r>
    </w:p>
    <w:p w14:paraId="71F307E4" w14:textId="77777777" w:rsidR="009017B9" w:rsidRPr="008E075A" w:rsidRDefault="009017B9" w:rsidP="00C04622">
      <w:pPr>
        <w:ind w:left="720" w:firstLine="720"/>
        <w:rPr>
          <w:rFonts w:ascii="Times New Roman" w:hAnsi="Times New Roman" w:cs="Times New Roman"/>
          <w:sz w:val="24"/>
          <w:szCs w:val="24"/>
        </w:rPr>
      </w:pPr>
    </w:p>
    <w:p w14:paraId="6103FADA" w14:textId="68259D29" w:rsidR="00C04622" w:rsidRDefault="00C04622" w:rsidP="00C04622">
      <w:pPr>
        <w:ind w:left="720" w:firstLine="720"/>
        <w:rPr>
          <w:rFonts w:ascii="Times New Roman" w:hAnsi="Times New Roman" w:cs="Times New Roman"/>
          <w:sz w:val="24"/>
          <w:szCs w:val="24"/>
        </w:rPr>
      </w:pPr>
      <w:r w:rsidRPr="008E075A">
        <w:rPr>
          <w:rFonts w:ascii="Times New Roman" w:hAnsi="Times New Roman" w:cs="Times New Roman"/>
          <w:sz w:val="24"/>
          <w:szCs w:val="24"/>
        </w:rPr>
        <w:t>i</w:t>
      </w:r>
      <w:r w:rsidR="00417FDF">
        <w:rPr>
          <w:rFonts w:ascii="Times New Roman" w:hAnsi="Times New Roman" w:cs="Times New Roman"/>
          <w:sz w:val="24"/>
          <w:szCs w:val="24"/>
        </w:rPr>
        <w:t>i</w:t>
      </w:r>
      <w:r w:rsidRPr="008E075A">
        <w:rPr>
          <w:rFonts w:ascii="Times New Roman" w:hAnsi="Times New Roman" w:cs="Times New Roman"/>
          <w:sz w:val="24"/>
          <w:szCs w:val="24"/>
        </w:rPr>
        <w:t>i. Building owners pursuing the Active Optimization exemption may, upon application no sooner than one hundred eighty (180) days prior to the Compliance Deadline and approval by OOS, receive an extension of no more than two (2) years from the Compliance Deadline to implement the Active Optimization and collect relevant data thereof. Extension applications under this subsection shall include: (1) description of the type of program; (2) systems to be actively optimized; (3) timeline for launch and data qualification; and (4) verification by a person possessing Specialist qualifications.</w:t>
      </w:r>
    </w:p>
    <w:p w14:paraId="3EDFD764" w14:textId="77777777" w:rsidR="00417FDF" w:rsidRDefault="00417FDF" w:rsidP="00C04622">
      <w:pPr>
        <w:ind w:left="720" w:firstLine="720"/>
        <w:rPr>
          <w:rFonts w:ascii="Times New Roman" w:hAnsi="Times New Roman" w:cs="Times New Roman"/>
          <w:sz w:val="24"/>
          <w:szCs w:val="24"/>
        </w:rPr>
      </w:pPr>
    </w:p>
    <w:p w14:paraId="69144C09" w14:textId="77777777" w:rsidR="009017B9" w:rsidRPr="008E075A" w:rsidRDefault="009017B9" w:rsidP="00C04622">
      <w:pPr>
        <w:ind w:left="720" w:firstLine="720"/>
        <w:rPr>
          <w:rFonts w:ascii="Times New Roman" w:hAnsi="Times New Roman" w:cs="Times New Roman"/>
          <w:sz w:val="24"/>
          <w:szCs w:val="24"/>
        </w:rPr>
      </w:pPr>
    </w:p>
    <w:p w14:paraId="70BB7A66" w14:textId="77777777" w:rsidR="00C04622" w:rsidRPr="008E075A" w:rsidRDefault="00C04622" w:rsidP="00C04622">
      <w:pPr>
        <w:ind w:left="720" w:firstLine="720"/>
        <w:rPr>
          <w:rFonts w:ascii="Times New Roman" w:hAnsi="Times New Roman" w:cs="Times New Roman"/>
          <w:sz w:val="24"/>
          <w:szCs w:val="24"/>
        </w:rPr>
      </w:pPr>
      <w:r w:rsidRPr="008E075A">
        <w:rPr>
          <w:rFonts w:ascii="Times New Roman" w:hAnsi="Times New Roman" w:cs="Times New Roman"/>
          <w:sz w:val="24"/>
          <w:szCs w:val="24"/>
        </w:rPr>
        <w:tab/>
        <w:t>1. Extensions must be requested no sooner than one hundred eighty (180) days prior to the Compliance Deadline.</w:t>
      </w:r>
    </w:p>
    <w:p w14:paraId="635388E6" w14:textId="77777777" w:rsidR="00C04622" w:rsidRDefault="00C04622" w:rsidP="00C04622">
      <w:pPr>
        <w:ind w:left="720" w:firstLine="720"/>
        <w:rPr>
          <w:rFonts w:ascii="Times New Roman" w:hAnsi="Times New Roman" w:cs="Times New Roman"/>
          <w:sz w:val="24"/>
          <w:szCs w:val="24"/>
        </w:rPr>
      </w:pPr>
      <w:r w:rsidRPr="008E075A">
        <w:rPr>
          <w:rFonts w:ascii="Times New Roman" w:hAnsi="Times New Roman" w:cs="Times New Roman"/>
          <w:sz w:val="24"/>
          <w:szCs w:val="24"/>
        </w:rPr>
        <w:tab/>
        <w:t>2. The Office reserves the right to reject any extension request, and Tune-ups shall be completed within one (1) year of the date of any notice of rejection of extension.</w:t>
      </w:r>
    </w:p>
    <w:p w14:paraId="4AB5DC98" w14:textId="77777777" w:rsidR="009017B9" w:rsidRPr="008E075A" w:rsidRDefault="009017B9" w:rsidP="00C04622">
      <w:pPr>
        <w:ind w:left="720" w:firstLine="720"/>
        <w:rPr>
          <w:rFonts w:ascii="Times New Roman" w:hAnsi="Times New Roman" w:cs="Times New Roman"/>
          <w:sz w:val="24"/>
          <w:szCs w:val="24"/>
        </w:rPr>
      </w:pPr>
    </w:p>
    <w:p w14:paraId="16B7C47C" w14:textId="087F2CEA" w:rsidR="00C04622" w:rsidRDefault="00C04622" w:rsidP="00C04622">
      <w:pPr>
        <w:ind w:left="720" w:firstLine="720"/>
        <w:rPr>
          <w:rFonts w:ascii="Times New Roman" w:hAnsi="Times New Roman" w:cs="Times New Roman"/>
          <w:sz w:val="24"/>
          <w:szCs w:val="24"/>
        </w:rPr>
      </w:pPr>
      <w:r w:rsidRPr="008E075A">
        <w:rPr>
          <w:rFonts w:ascii="Times New Roman" w:hAnsi="Times New Roman" w:cs="Times New Roman"/>
          <w:sz w:val="24"/>
          <w:szCs w:val="24"/>
        </w:rPr>
        <w:t>i</w:t>
      </w:r>
      <w:r w:rsidR="0010277B">
        <w:rPr>
          <w:rFonts w:ascii="Times New Roman" w:hAnsi="Times New Roman" w:cs="Times New Roman"/>
          <w:sz w:val="24"/>
          <w:szCs w:val="24"/>
        </w:rPr>
        <w:t>v</w:t>
      </w:r>
      <w:r w:rsidRPr="008E075A">
        <w:rPr>
          <w:rFonts w:ascii="Times New Roman" w:hAnsi="Times New Roman" w:cs="Times New Roman"/>
          <w:sz w:val="24"/>
          <w:szCs w:val="24"/>
        </w:rPr>
        <w:t>. Notwithstanding any provision in these regulations the Director may, at his or her discretion, delay any Compliance Dates or related enforcement deadline. Reasonable notice shall be given to the owner(s) of any Covered Building affected by such delay.</w:t>
      </w:r>
    </w:p>
    <w:p w14:paraId="5CB46EE0" w14:textId="73912029" w:rsidR="0010277B" w:rsidRDefault="0010277B" w:rsidP="008C631A">
      <w:pPr>
        <w:rPr>
          <w:rFonts w:ascii="Times New Roman" w:hAnsi="Times New Roman" w:cs="Times New Roman"/>
          <w:sz w:val="24"/>
          <w:szCs w:val="24"/>
        </w:rPr>
      </w:pPr>
    </w:p>
    <w:p w14:paraId="22F9963A" w14:textId="11EAB061" w:rsidR="00C04622" w:rsidRPr="008E075A" w:rsidRDefault="0010277B" w:rsidP="008C631A">
      <w:pPr>
        <w:ind w:left="1440" w:firstLine="720"/>
        <w:rPr>
          <w:rFonts w:ascii="Times New Roman" w:hAnsi="Times New Roman" w:cs="Times New Roman"/>
          <w:sz w:val="24"/>
          <w:szCs w:val="24"/>
        </w:rPr>
      </w:pPr>
      <w:r>
        <w:rPr>
          <w:rFonts w:ascii="Times New Roman" w:hAnsi="Times New Roman" w:cs="Times New Roman"/>
          <w:sz w:val="24"/>
          <w:szCs w:val="24"/>
        </w:rPr>
        <w:t>1</w:t>
      </w:r>
      <w:commentRangeStart w:id="2"/>
      <w:r w:rsidR="00746C21">
        <w:rPr>
          <w:rFonts w:ascii="Times New Roman" w:hAnsi="Times New Roman" w:cs="Times New Roman"/>
          <w:sz w:val="24"/>
          <w:szCs w:val="24"/>
        </w:rPr>
        <w:t xml:space="preserve">. </w:t>
      </w:r>
      <w:r>
        <w:rPr>
          <w:rFonts w:ascii="Times New Roman" w:hAnsi="Times New Roman" w:cs="Times New Roman"/>
          <w:sz w:val="24"/>
          <w:szCs w:val="24"/>
        </w:rPr>
        <w:t>In light of the COVID-19 Emergency, f</w:t>
      </w:r>
      <w:r w:rsidR="00746C21">
        <w:rPr>
          <w:rFonts w:ascii="Times New Roman" w:hAnsi="Times New Roman" w:cs="Times New Roman"/>
          <w:sz w:val="24"/>
          <w:szCs w:val="24"/>
        </w:rPr>
        <w:t xml:space="preserve">or the 2021 Compliance Year, building owners </w:t>
      </w:r>
      <w:r w:rsidR="00AF78F4">
        <w:rPr>
          <w:rFonts w:ascii="Times New Roman" w:hAnsi="Times New Roman" w:cs="Times New Roman"/>
          <w:sz w:val="24"/>
          <w:szCs w:val="24"/>
        </w:rPr>
        <w:t xml:space="preserve">who would have to comply by September 30, 2021 </w:t>
      </w:r>
      <w:r w:rsidR="00746C21">
        <w:rPr>
          <w:rFonts w:ascii="Times New Roman" w:hAnsi="Times New Roman" w:cs="Times New Roman"/>
          <w:sz w:val="24"/>
          <w:szCs w:val="24"/>
        </w:rPr>
        <w:t>may submit</w:t>
      </w:r>
      <w:r w:rsidR="00AF78F4">
        <w:rPr>
          <w:rFonts w:ascii="Times New Roman" w:hAnsi="Times New Roman" w:cs="Times New Roman"/>
          <w:sz w:val="24"/>
          <w:szCs w:val="24"/>
        </w:rPr>
        <w:t xml:space="preserve"> to OOS</w:t>
      </w:r>
      <w:r w:rsidR="00045AC1">
        <w:rPr>
          <w:rFonts w:ascii="Times New Roman" w:hAnsi="Times New Roman" w:cs="Times New Roman"/>
          <w:sz w:val="24"/>
          <w:szCs w:val="24"/>
        </w:rPr>
        <w:t xml:space="preserve"> by April 5, 2021</w:t>
      </w:r>
      <w:r w:rsidR="00746C21">
        <w:rPr>
          <w:rFonts w:ascii="Times New Roman" w:hAnsi="Times New Roman" w:cs="Times New Roman"/>
          <w:sz w:val="24"/>
          <w:szCs w:val="24"/>
        </w:rPr>
        <w:t xml:space="preserve"> </w:t>
      </w:r>
      <w:r>
        <w:rPr>
          <w:rFonts w:ascii="Times New Roman" w:hAnsi="Times New Roman" w:cs="Times New Roman"/>
          <w:sz w:val="24"/>
          <w:szCs w:val="24"/>
        </w:rPr>
        <w:t xml:space="preserve">a request for </w:t>
      </w:r>
      <w:r w:rsidR="00AF78F4">
        <w:rPr>
          <w:rFonts w:ascii="Times New Roman" w:hAnsi="Times New Roman" w:cs="Times New Roman"/>
          <w:sz w:val="24"/>
          <w:szCs w:val="24"/>
        </w:rPr>
        <w:t>a six-month extension to the Compliance Deadline. The new compliance deadline for buildings submitting</w:t>
      </w:r>
      <w:r>
        <w:rPr>
          <w:rFonts w:ascii="Times New Roman" w:hAnsi="Times New Roman" w:cs="Times New Roman"/>
          <w:sz w:val="24"/>
          <w:szCs w:val="24"/>
        </w:rPr>
        <w:t xml:space="preserve"> and receiving</w:t>
      </w:r>
      <w:r w:rsidR="00AF78F4">
        <w:rPr>
          <w:rFonts w:ascii="Times New Roman" w:hAnsi="Times New Roman" w:cs="Times New Roman"/>
          <w:sz w:val="24"/>
          <w:szCs w:val="24"/>
        </w:rPr>
        <w:t xml:space="preserve"> this extension will be March 30, </w:t>
      </w:r>
      <w:commentRangeStart w:id="3"/>
      <w:r w:rsidR="00AF78F4">
        <w:rPr>
          <w:rFonts w:ascii="Times New Roman" w:hAnsi="Times New Roman" w:cs="Times New Roman"/>
          <w:sz w:val="24"/>
          <w:szCs w:val="24"/>
        </w:rPr>
        <w:t>2022</w:t>
      </w:r>
      <w:commentRangeEnd w:id="3"/>
      <w:r w:rsidR="00F4179A">
        <w:rPr>
          <w:rStyle w:val="CommentReference"/>
        </w:rPr>
        <w:commentReference w:id="3"/>
      </w:r>
      <w:r w:rsidR="00AF78F4">
        <w:rPr>
          <w:rFonts w:ascii="Times New Roman" w:hAnsi="Times New Roman" w:cs="Times New Roman"/>
          <w:sz w:val="24"/>
          <w:szCs w:val="24"/>
        </w:rPr>
        <w:t xml:space="preserve">. </w:t>
      </w:r>
      <w:commentRangeEnd w:id="2"/>
      <w:r w:rsidR="00AF78F4">
        <w:rPr>
          <w:rStyle w:val="CommentReference"/>
        </w:rPr>
        <w:commentReference w:id="2"/>
      </w:r>
    </w:p>
    <w:p w14:paraId="5C04E5FE" w14:textId="737D2285" w:rsidR="00C04622" w:rsidRDefault="00C04622" w:rsidP="00C04622">
      <w:pPr>
        <w:rPr>
          <w:rFonts w:ascii="Times New Roman" w:hAnsi="Times New Roman" w:cs="Times New Roman"/>
          <w:b/>
          <w:sz w:val="24"/>
          <w:szCs w:val="24"/>
        </w:rPr>
      </w:pPr>
      <w:r w:rsidRPr="009017B9">
        <w:rPr>
          <w:rFonts w:ascii="Times New Roman" w:hAnsi="Times New Roman" w:cs="Times New Roman"/>
          <w:b/>
          <w:sz w:val="24"/>
          <w:szCs w:val="24"/>
        </w:rPr>
        <w:t xml:space="preserve">Section </w:t>
      </w:r>
      <w:r w:rsidR="00386B3F">
        <w:rPr>
          <w:rFonts w:ascii="Times New Roman" w:hAnsi="Times New Roman" w:cs="Times New Roman"/>
          <w:b/>
          <w:sz w:val="24"/>
          <w:szCs w:val="24"/>
        </w:rPr>
        <w:t>8</w:t>
      </w:r>
      <w:r w:rsidRPr="009017B9">
        <w:rPr>
          <w:rFonts w:ascii="Times New Roman" w:hAnsi="Times New Roman" w:cs="Times New Roman"/>
          <w:b/>
          <w:sz w:val="24"/>
          <w:szCs w:val="24"/>
        </w:rPr>
        <w:t>. Alternative Schedules for Large Building Portfolios</w:t>
      </w:r>
    </w:p>
    <w:p w14:paraId="3DDC9F91" w14:textId="77777777" w:rsidR="009017B9" w:rsidRPr="009017B9" w:rsidRDefault="009017B9" w:rsidP="00C04622">
      <w:pPr>
        <w:rPr>
          <w:rFonts w:ascii="Times New Roman" w:hAnsi="Times New Roman" w:cs="Times New Roman"/>
          <w:b/>
          <w:sz w:val="24"/>
          <w:szCs w:val="24"/>
        </w:rPr>
      </w:pPr>
    </w:p>
    <w:p w14:paraId="42F82095"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a. Large Portfolio Owners seeking alternative schedule(s) for compliance shall submit a Compliance Plan to the Director for review. No review shall be granted as of right. The Compliance Plan shall include, for each building: (1) the Covered Building OPA number; (2) Covered area in square feet of the Covered Building; (3) Whether the owner intends to conduct a Tune-up or seeks an exemption; and (4) the proposed Compliance Year for the building.</w:t>
      </w:r>
    </w:p>
    <w:p w14:paraId="53E24A2D" w14:textId="77777777" w:rsidR="009017B9" w:rsidRPr="008E075A" w:rsidRDefault="009017B9" w:rsidP="00C04622">
      <w:pPr>
        <w:rPr>
          <w:rFonts w:ascii="Times New Roman" w:hAnsi="Times New Roman" w:cs="Times New Roman"/>
          <w:sz w:val="24"/>
          <w:szCs w:val="24"/>
        </w:rPr>
      </w:pPr>
    </w:p>
    <w:p w14:paraId="4406CFC4" w14:textId="10DE3758" w:rsidR="00C04622" w:rsidRDefault="00C04622" w:rsidP="009017B9">
      <w:pPr>
        <w:ind w:left="720" w:firstLine="720"/>
        <w:rPr>
          <w:rFonts w:ascii="Times New Roman" w:hAnsi="Times New Roman" w:cs="Times New Roman"/>
          <w:sz w:val="24"/>
          <w:szCs w:val="24"/>
        </w:rPr>
      </w:pP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Where the owner seeks an exemption, the plan must include the exemption sought</w:t>
      </w:r>
      <w:proofErr w:type="gramStart"/>
      <w:r w:rsidR="00CD0341">
        <w:rPr>
          <w:rFonts w:ascii="Times New Roman" w:hAnsi="Times New Roman" w:cs="Times New Roman"/>
          <w:sz w:val="24"/>
          <w:szCs w:val="24"/>
        </w:rPr>
        <w:t>.</w:t>
      </w:r>
      <w:r w:rsidRPr="008E075A">
        <w:rPr>
          <w:rFonts w:ascii="Times New Roman" w:hAnsi="Times New Roman" w:cs="Times New Roman"/>
          <w:sz w:val="24"/>
          <w:szCs w:val="24"/>
        </w:rPr>
        <w:t>.</w:t>
      </w:r>
      <w:proofErr w:type="gramEnd"/>
    </w:p>
    <w:p w14:paraId="157E4355" w14:textId="77777777" w:rsidR="009017B9" w:rsidRPr="008E075A" w:rsidRDefault="009017B9" w:rsidP="00C04622">
      <w:pPr>
        <w:rPr>
          <w:rFonts w:ascii="Times New Roman" w:hAnsi="Times New Roman" w:cs="Times New Roman"/>
          <w:sz w:val="24"/>
          <w:szCs w:val="24"/>
        </w:rPr>
      </w:pPr>
    </w:p>
    <w:p w14:paraId="545D71A9" w14:textId="20BBD38E" w:rsidR="00C04622" w:rsidRDefault="00C04622" w:rsidP="009017B9">
      <w:pPr>
        <w:ind w:left="720" w:firstLine="720"/>
        <w:rPr>
          <w:rFonts w:ascii="Times New Roman" w:hAnsi="Times New Roman" w:cs="Times New Roman"/>
          <w:sz w:val="24"/>
          <w:szCs w:val="24"/>
        </w:rPr>
      </w:pPr>
      <w:r w:rsidRPr="008E075A">
        <w:rPr>
          <w:rFonts w:ascii="Times New Roman" w:hAnsi="Times New Roman" w:cs="Times New Roman"/>
          <w:sz w:val="24"/>
          <w:szCs w:val="24"/>
        </w:rPr>
        <w:t xml:space="preserve">ii. </w:t>
      </w:r>
      <w:r w:rsidR="00CD0341">
        <w:rPr>
          <w:rFonts w:ascii="Times New Roman" w:hAnsi="Times New Roman" w:cs="Times New Roman"/>
          <w:sz w:val="24"/>
          <w:szCs w:val="24"/>
        </w:rPr>
        <w:t xml:space="preserve">For buildings that </w:t>
      </w:r>
      <w:r w:rsidRPr="008E075A">
        <w:rPr>
          <w:rFonts w:ascii="Times New Roman" w:hAnsi="Times New Roman" w:cs="Times New Roman"/>
          <w:sz w:val="24"/>
          <w:szCs w:val="24"/>
        </w:rPr>
        <w:t>will conduct a Tune Up</w:t>
      </w:r>
      <w:r w:rsidR="00CD0341">
        <w:rPr>
          <w:rFonts w:ascii="Times New Roman" w:hAnsi="Times New Roman" w:cs="Times New Roman"/>
          <w:sz w:val="24"/>
          <w:szCs w:val="24"/>
        </w:rPr>
        <w:t xml:space="preserve"> in the Compliance Year during which the plan is submitted</w:t>
      </w:r>
      <w:r w:rsidRPr="008E075A">
        <w:rPr>
          <w:rFonts w:ascii="Times New Roman" w:hAnsi="Times New Roman" w:cs="Times New Roman"/>
          <w:sz w:val="24"/>
          <w:szCs w:val="24"/>
        </w:rPr>
        <w:t xml:space="preserve">, the plan must include whether the Specialist conducting the tune up will be a </w:t>
      </w:r>
      <w:proofErr w:type="gramStart"/>
      <w:r w:rsidRPr="008E075A">
        <w:rPr>
          <w:rFonts w:ascii="Times New Roman" w:hAnsi="Times New Roman" w:cs="Times New Roman"/>
          <w:sz w:val="24"/>
          <w:szCs w:val="24"/>
        </w:rPr>
        <w:t>third-party</w:t>
      </w:r>
      <w:proofErr w:type="gramEnd"/>
      <w:r w:rsidRPr="008E075A">
        <w:rPr>
          <w:rFonts w:ascii="Times New Roman" w:hAnsi="Times New Roman" w:cs="Times New Roman"/>
          <w:sz w:val="24"/>
          <w:szCs w:val="24"/>
        </w:rPr>
        <w:t>, or in-house staff.</w:t>
      </w:r>
    </w:p>
    <w:p w14:paraId="299470BD" w14:textId="77777777" w:rsidR="009017B9" w:rsidRPr="008E075A" w:rsidRDefault="009017B9" w:rsidP="00C04622">
      <w:pPr>
        <w:rPr>
          <w:rFonts w:ascii="Times New Roman" w:hAnsi="Times New Roman" w:cs="Times New Roman"/>
          <w:sz w:val="24"/>
          <w:szCs w:val="24"/>
        </w:rPr>
      </w:pPr>
    </w:p>
    <w:p w14:paraId="1FDE49F9" w14:textId="570903E2"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b. Large Portfolio Owners must submit Compliance Plans no sooner than two hundred seventy (270) days prior to the Compliance Deadline</w:t>
      </w:r>
      <w:r w:rsidR="00CD0341">
        <w:rPr>
          <w:rFonts w:ascii="Times New Roman" w:hAnsi="Times New Roman" w:cs="Times New Roman"/>
          <w:sz w:val="24"/>
          <w:szCs w:val="24"/>
        </w:rPr>
        <w:t>, or the first business day after this date</w:t>
      </w:r>
      <w:r w:rsidRPr="008E075A">
        <w:rPr>
          <w:rFonts w:ascii="Times New Roman" w:hAnsi="Times New Roman" w:cs="Times New Roman"/>
          <w:sz w:val="24"/>
          <w:szCs w:val="24"/>
        </w:rPr>
        <w:t>. The Director shall respond to Compliance Plans within thirty (30) days. If the Director requests additional information, that information shall be submitted in full within thirty (30) days of the date of the Director’s written response.</w:t>
      </w:r>
    </w:p>
    <w:p w14:paraId="5E1037C1" w14:textId="77777777" w:rsidR="009017B9" w:rsidRPr="008E075A" w:rsidRDefault="009017B9" w:rsidP="00C04622">
      <w:pPr>
        <w:rPr>
          <w:rFonts w:ascii="Times New Roman" w:hAnsi="Times New Roman" w:cs="Times New Roman"/>
          <w:sz w:val="24"/>
          <w:szCs w:val="24"/>
        </w:rPr>
      </w:pPr>
    </w:p>
    <w:p w14:paraId="2DC88650"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c. Compliance Plans may be amended in subsequent years. Amended Compliance Plans shall follow the same procedures as set forth in this Section 7.</w:t>
      </w:r>
    </w:p>
    <w:p w14:paraId="29C36723" w14:textId="77777777" w:rsidR="009017B9" w:rsidRPr="008E075A" w:rsidRDefault="009017B9" w:rsidP="00C04622">
      <w:pPr>
        <w:rPr>
          <w:rFonts w:ascii="Times New Roman" w:hAnsi="Times New Roman" w:cs="Times New Roman"/>
          <w:sz w:val="24"/>
          <w:szCs w:val="24"/>
        </w:rPr>
      </w:pPr>
    </w:p>
    <w:p w14:paraId="00D56F07" w14:textId="60AFAFD9" w:rsidR="00C04622" w:rsidRDefault="00C04622" w:rsidP="00C04622">
      <w:pPr>
        <w:rPr>
          <w:rFonts w:ascii="Times New Roman" w:hAnsi="Times New Roman" w:cs="Times New Roman"/>
          <w:b/>
          <w:sz w:val="24"/>
          <w:szCs w:val="24"/>
        </w:rPr>
      </w:pPr>
      <w:r w:rsidRPr="009017B9">
        <w:rPr>
          <w:rFonts w:ascii="Times New Roman" w:hAnsi="Times New Roman" w:cs="Times New Roman"/>
          <w:b/>
          <w:sz w:val="24"/>
          <w:szCs w:val="24"/>
        </w:rPr>
        <w:t xml:space="preserve">Section </w:t>
      </w:r>
      <w:r w:rsidR="00386B3F">
        <w:rPr>
          <w:rFonts w:ascii="Times New Roman" w:hAnsi="Times New Roman" w:cs="Times New Roman"/>
          <w:b/>
          <w:sz w:val="24"/>
          <w:szCs w:val="24"/>
        </w:rPr>
        <w:t>9</w:t>
      </w:r>
      <w:r w:rsidRPr="009017B9">
        <w:rPr>
          <w:rFonts w:ascii="Times New Roman" w:hAnsi="Times New Roman" w:cs="Times New Roman"/>
          <w:b/>
          <w:sz w:val="24"/>
          <w:szCs w:val="24"/>
        </w:rPr>
        <w:t>. Penalties and Rights of Appeal.</w:t>
      </w:r>
    </w:p>
    <w:p w14:paraId="5E1BB6B6" w14:textId="77777777" w:rsidR="009017B9" w:rsidRPr="009017B9" w:rsidRDefault="009017B9" w:rsidP="00C04622">
      <w:pPr>
        <w:rPr>
          <w:rFonts w:ascii="Times New Roman" w:hAnsi="Times New Roman" w:cs="Times New Roman"/>
          <w:b/>
          <w:sz w:val="24"/>
          <w:szCs w:val="24"/>
        </w:rPr>
      </w:pPr>
    </w:p>
    <w:p w14:paraId="1711095B"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a. Failure to comply with these regulations constitutes a violation of Title 9 of the Philadelphia Code, and subject to the penalties as set forth in Subsection A-601, Title 4 of the Philadelphia Code.</w:t>
      </w:r>
    </w:p>
    <w:p w14:paraId="683D5AF4" w14:textId="77777777" w:rsidR="009017B9" w:rsidRPr="008E075A" w:rsidRDefault="009017B9" w:rsidP="00C04622">
      <w:pPr>
        <w:rPr>
          <w:rFonts w:ascii="Times New Roman" w:hAnsi="Times New Roman" w:cs="Times New Roman"/>
          <w:sz w:val="24"/>
          <w:szCs w:val="24"/>
        </w:rPr>
      </w:pPr>
    </w:p>
    <w:p w14:paraId="03A0A92D" w14:textId="22723CA0" w:rsidR="00C04622" w:rsidRDefault="00C04622" w:rsidP="00C04622">
      <w:pPr>
        <w:ind w:firstLine="720"/>
        <w:rPr>
          <w:rFonts w:ascii="Times New Roman" w:hAnsi="Times New Roman" w:cs="Times New Roman"/>
          <w:sz w:val="24"/>
          <w:szCs w:val="24"/>
        </w:rPr>
      </w:pPr>
      <w:r w:rsidRPr="008E075A">
        <w:rPr>
          <w:rFonts w:ascii="Times New Roman" w:hAnsi="Times New Roman" w:cs="Times New Roman"/>
          <w:sz w:val="24"/>
          <w:szCs w:val="24"/>
        </w:rPr>
        <w:t>b. Appeals of any rejection or finding of OOS may be directed to the Director on a form provided by OOS within thirty (30) days of the date of the rejection or finding.</w:t>
      </w:r>
    </w:p>
    <w:p w14:paraId="138C8DD6" w14:textId="67772E5B" w:rsidR="00EB532D" w:rsidRDefault="00EB532D" w:rsidP="00C04622">
      <w:pPr>
        <w:ind w:firstLine="720"/>
        <w:rPr>
          <w:rFonts w:ascii="Times New Roman" w:hAnsi="Times New Roman" w:cs="Times New Roman"/>
          <w:sz w:val="24"/>
          <w:szCs w:val="24"/>
        </w:rPr>
      </w:pPr>
    </w:p>
    <w:p w14:paraId="623A4BC6" w14:textId="6220DE76" w:rsidR="00EB532D" w:rsidRDefault="00EB532D" w:rsidP="00C04622">
      <w:pPr>
        <w:ind w:firstLine="720"/>
        <w:rPr>
          <w:rFonts w:ascii="Times New Roman" w:hAnsi="Times New Roman" w:cs="Times New Roman"/>
          <w:sz w:val="24"/>
          <w:szCs w:val="24"/>
        </w:rPr>
      </w:pPr>
      <w:r>
        <w:rPr>
          <w:rFonts w:ascii="Times New Roman" w:hAnsi="Times New Roman" w:cs="Times New Roman"/>
          <w:sz w:val="24"/>
          <w:szCs w:val="24"/>
        </w:rPr>
        <w:t xml:space="preserve">c. In the collection of the daily fines that will accrue to non-compliant buildings, OOS reserves the right to aggregate fines over a period (e.g. a month or fiscal quarter) and send a lump sum bill to the </w:t>
      </w:r>
      <w:r w:rsidR="00045AC1">
        <w:rPr>
          <w:rFonts w:ascii="Times New Roman" w:hAnsi="Times New Roman" w:cs="Times New Roman"/>
          <w:sz w:val="24"/>
          <w:szCs w:val="24"/>
        </w:rPr>
        <w:t>O</w:t>
      </w:r>
      <w:r>
        <w:rPr>
          <w:rFonts w:ascii="Times New Roman" w:hAnsi="Times New Roman" w:cs="Times New Roman"/>
          <w:sz w:val="24"/>
          <w:szCs w:val="24"/>
        </w:rPr>
        <w:t xml:space="preserve">wner. OOS will inform noncompliant buildings </w:t>
      </w:r>
      <w:r w:rsidR="00563411">
        <w:rPr>
          <w:rFonts w:ascii="Times New Roman" w:hAnsi="Times New Roman" w:cs="Times New Roman"/>
          <w:sz w:val="24"/>
          <w:szCs w:val="24"/>
        </w:rPr>
        <w:t>when penalties begin to take effect and the period over which daily fines will be aggregated.</w:t>
      </w:r>
    </w:p>
    <w:p w14:paraId="5943993C" w14:textId="77777777" w:rsidR="000D0365" w:rsidRPr="008E075A" w:rsidRDefault="000D0365" w:rsidP="00C04622">
      <w:pPr>
        <w:ind w:firstLine="720"/>
        <w:rPr>
          <w:rFonts w:ascii="Times New Roman" w:hAnsi="Times New Roman" w:cs="Times New Roman"/>
          <w:sz w:val="24"/>
          <w:szCs w:val="24"/>
        </w:rPr>
      </w:pPr>
    </w:p>
    <w:p w14:paraId="4586DC68" w14:textId="4EF9F9B0" w:rsidR="00C04622" w:rsidRDefault="00C04622" w:rsidP="00C04622">
      <w:pPr>
        <w:rPr>
          <w:rFonts w:ascii="Times New Roman" w:hAnsi="Times New Roman" w:cs="Times New Roman"/>
          <w:sz w:val="24"/>
          <w:szCs w:val="24"/>
        </w:rPr>
      </w:pPr>
      <w:r w:rsidRPr="000D0365">
        <w:rPr>
          <w:rFonts w:ascii="Times New Roman" w:hAnsi="Times New Roman" w:cs="Times New Roman"/>
          <w:b/>
          <w:sz w:val="24"/>
          <w:szCs w:val="24"/>
        </w:rPr>
        <w:t xml:space="preserve">Section </w:t>
      </w:r>
      <w:r w:rsidR="00386B3F">
        <w:rPr>
          <w:rFonts w:ascii="Times New Roman" w:hAnsi="Times New Roman" w:cs="Times New Roman"/>
          <w:b/>
          <w:sz w:val="24"/>
          <w:szCs w:val="24"/>
        </w:rPr>
        <w:t>10</w:t>
      </w:r>
      <w:r w:rsidRPr="000D0365">
        <w:rPr>
          <w:rFonts w:ascii="Times New Roman" w:hAnsi="Times New Roman" w:cs="Times New Roman"/>
          <w:b/>
          <w:sz w:val="24"/>
          <w:szCs w:val="24"/>
        </w:rPr>
        <w:t>. Miscellaneous Provisions</w:t>
      </w:r>
      <w:r w:rsidRPr="008E075A">
        <w:rPr>
          <w:rFonts w:ascii="Times New Roman" w:hAnsi="Times New Roman" w:cs="Times New Roman"/>
          <w:sz w:val="24"/>
          <w:szCs w:val="24"/>
        </w:rPr>
        <w:t>.</w:t>
      </w:r>
    </w:p>
    <w:p w14:paraId="14C2CBB7" w14:textId="77777777" w:rsidR="009017B9" w:rsidRPr="008E075A" w:rsidRDefault="009017B9" w:rsidP="00C04622">
      <w:pPr>
        <w:rPr>
          <w:rFonts w:ascii="Times New Roman" w:hAnsi="Times New Roman" w:cs="Times New Roman"/>
          <w:sz w:val="24"/>
          <w:szCs w:val="24"/>
        </w:rPr>
      </w:pPr>
    </w:p>
    <w:p w14:paraId="61C254B0" w14:textId="77777777" w:rsidR="00C04622" w:rsidRPr="008E075A"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a. Data Privacy. Tune up reports for individual Covered Buildings shall not be made public.</w:t>
      </w:r>
    </w:p>
    <w:p w14:paraId="7737D06E"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The City may aggregate data for public release, and will take reasonable precautions to ensure that specific building data cannot be determined by a lay person in these aggregated data sets.</w:t>
      </w:r>
    </w:p>
    <w:p w14:paraId="3F21ECC0" w14:textId="77777777" w:rsidR="000D0365" w:rsidRPr="008E075A" w:rsidRDefault="000D0365" w:rsidP="00C04622">
      <w:pPr>
        <w:rPr>
          <w:rFonts w:ascii="Times New Roman" w:hAnsi="Times New Roman" w:cs="Times New Roman"/>
          <w:sz w:val="24"/>
          <w:szCs w:val="24"/>
        </w:rPr>
      </w:pPr>
    </w:p>
    <w:p w14:paraId="33440CC4"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t>b. City Quality Assurance.</w:t>
      </w:r>
    </w:p>
    <w:p w14:paraId="13844FFA" w14:textId="77777777" w:rsidR="000D0365" w:rsidRPr="008E075A" w:rsidRDefault="000D0365" w:rsidP="00C04622">
      <w:pPr>
        <w:rPr>
          <w:rFonts w:ascii="Times New Roman" w:hAnsi="Times New Roman" w:cs="Times New Roman"/>
          <w:sz w:val="24"/>
          <w:szCs w:val="24"/>
        </w:rPr>
      </w:pPr>
    </w:p>
    <w:p w14:paraId="54AA77F8" w14:textId="77777777" w:rsidR="00C04622"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r>
      <w:proofErr w:type="spellStart"/>
      <w:r w:rsidRPr="008E075A">
        <w:rPr>
          <w:rFonts w:ascii="Times New Roman" w:hAnsi="Times New Roman" w:cs="Times New Roman"/>
          <w:sz w:val="24"/>
          <w:szCs w:val="24"/>
        </w:rPr>
        <w:t>i</w:t>
      </w:r>
      <w:proofErr w:type="spellEnd"/>
      <w:r w:rsidRPr="008E075A">
        <w:rPr>
          <w:rFonts w:ascii="Times New Roman" w:hAnsi="Times New Roman" w:cs="Times New Roman"/>
          <w:sz w:val="24"/>
          <w:szCs w:val="24"/>
        </w:rPr>
        <w:t>. The City or its employee(s), agent(s), or assign(s) may conduct from time to time a quality assurance assessment on any Covered Building that submits a tune up report.</w:t>
      </w:r>
    </w:p>
    <w:p w14:paraId="6D998D57" w14:textId="77777777" w:rsidR="000D0365" w:rsidRPr="008E075A" w:rsidRDefault="000D0365" w:rsidP="00C04622">
      <w:pPr>
        <w:rPr>
          <w:rFonts w:ascii="Times New Roman" w:hAnsi="Times New Roman" w:cs="Times New Roman"/>
          <w:sz w:val="24"/>
          <w:szCs w:val="24"/>
        </w:rPr>
      </w:pPr>
    </w:p>
    <w:p w14:paraId="2AC94AD9" w14:textId="77777777" w:rsidR="00C04622" w:rsidRPr="008E075A" w:rsidRDefault="00C04622" w:rsidP="00C04622">
      <w:pPr>
        <w:rPr>
          <w:rFonts w:ascii="Times New Roman" w:hAnsi="Times New Roman" w:cs="Times New Roman"/>
          <w:sz w:val="24"/>
          <w:szCs w:val="24"/>
        </w:rPr>
      </w:pPr>
      <w:r w:rsidRPr="008E075A">
        <w:rPr>
          <w:rFonts w:ascii="Times New Roman" w:hAnsi="Times New Roman" w:cs="Times New Roman"/>
          <w:sz w:val="24"/>
          <w:szCs w:val="24"/>
        </w:rPr>
        <w:tab/>
      </w:r>
      <w:r w:rsidRPr="008E075A">
        <w:rPr>
          <w:rFonts w:ascii="Times New Roman" w:hAnsi="Times New Roman" w:cs="Times New Roman"/>
          <w:sz w:val="24"/>
          <w:szCs w:val="24"/>
        </w:rPr>
        <w:tab/>
        <w:t>ii. The Director, upon a showing of inconsistencies between the tune up report and the quality assurance assessment, may require another tune up, conducted by a Specialist. Such remedial tune up shall be completed by any date set by the Director.</w:t>
      </w:r>
    </w:p>
    <w:p w14:paraId="76F9062C" w14:textId="77777777" w:rsidR="000D0365" w:rsidRDefault="000D0365" w:rsidP="00C04622">
      <w:pPr>
        <w:spacing w:after="240" w:line="480" w:lineRule="auto"/>
        <w:rPr>
          <w:rFonts w:ascii="Times New Roman" w:hAnsi="Times New Roman" w:cs="Times New Roman"/>
          <w:b/>
          <w:sz w:val="24"/>
          <w:szCs w:val="24"/>
        </w:rPr>
      </w:pPr>
    </w:p>
    <w:p w14:paraId="020C0700" w14:textId="66ECB751" w:rsidR="006349B1" w:rsidRDefault="00146D6B" w:rsidP="000D0365">
      <w:pPr>
        <w:spacing w:after="240"/>
        <w:rPr>
          <w:rFonts w:ascii="Times New Roman" w:hAnsi="Times New Roman" w:cs="Times New Roman"/>
          <w:sz w:val="24"/>
          <w:szCs w:val="24"/>
        </w:rPr>
      </w:pPr>
      <w:r>
        <w:rPr>
          <w:rFonts w:ascii="Times New Roman" w:hAnsi="Times New Roman" w:cs="Times New Roman"/>
          <w:b/>
          <w:sz w:val="24"/>
          <w:szCs w:val="24"/>
        </w:rPr>
        <w:t xml:space="preserve">Section </w:t>
      </w:r>
      <w:r w:rsidR="000D0365">
        <w:rPr>
          <w:rFonts w:ascii="Times New Roman" w:hAnsi="Times New Roman" w:cs="Times New Roman"/>
          <w:b/>
          <w:sz w:val="24"/>
          <w:szCs w:val="24"/>
        </w:rPr>
        <w:t>1</w:t>
      </w:r>
      <w:r w:rsidR="00386B3F">
        <w:rPr>
          <w:rFonts w:ascii="Times New Roman" w:hAnsi="Times New Roman" w:cs="Times New Roman"/>
          <w:b/>
          <w:sz w:val="24"/>
          <w:szCs w:val="24"/>
        </w:rPr>
        <w:t>1.</w:t>
      </w:r>
      <w:r>
        <w:rPr>
          <w:rFonts w:ascii="Times New Roman" w:hAnsi="Times New Roman" w:cs="Times New Roman"/>
          <w:b/>
          <w:sz w:val="24"/>
          <w:szCs w:val="24"/>
        </w:rPr>
        <w:t xml:space="preserve"> Effective Date. </w:t>
      </w:r>
      <w:r w:rsidR="000D0365">
        <w:rPr>
          <w:rFonts w:ascii="Times New Roman" w:hAnsi="Times New Roman" w:cs="Times New Roman"/>
          <w:sz w:val="24"/>
          <w:szCs w:val="24"/>
        </w:rPr>
        <w:t xml:space="preserve">OOS shall implement these regulations immediately upon confirmation from the Department of Records that they are permanent. </w:t>
      </w:r>
    </w:p>
    <w:p w14:paraId="7D3ED88A" w14:textId="77777777" w:rsidR="000D0365" w:rsidRDefault="000D0365" w:rsidP="000D0365">
      <w:pPr>
        <w:spacing w:after="240"/>
        <w:rPr>
          <w:rFonts w:ascii="Times New Roman" w:hAnsi="Times New Roman" w:cs="Times New Roman"/>
          <w:sz w:val="24"/>
          <w:szCs w:val="24"/>
        </w:rPr>
      </w:pPr>
    </w:p>
    <w:p w14:paraId="6F0616D3" w14:textId="2930851B" w:rsidR="000D0365" w:rsidRDefault="000D0365" w:rsidP="000D0365">
      <w:pPr>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City of Philadelphia, by and through</w:t>
      </w:r>
    </w:p>
    <w:p w14:paraId="761A1E0A" w14:textId="4BB0DDBD" w:rsidR="000D0365" w:rsidRDefault="000D0365" w:rsidP="000D0365">
      <w:pPr>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The Office of Sustainability</w:t>
      </w:r>
      <w:r w:rsidR="00827EDD">
        <w:rPr>
          <w:rFonts w:ascii="Times New Roman" w:hAnsi="Times New Roman" w:cs="Times New Roman"/>
          <w:sz w:val="24"/>
          <w:szCs w:val="24"/>
        </w:rPr>
        <w:t>:</w:t>
      </w:r>
    </w:p>
    <w:p w14:paraId="636F32EC" w14:textId="22418B39" w:rsidR="000D0365" w:rsidRDefault="000D0365" w:rsidP="000D0365">
      <w:pPr>
        <w:spacing w:after="240"/>
        <w:rPr>
          <w:rFonts w:ascii="Times New Roman" w:hAnsi="Times New Roman" w:cs="Times New Roman"/>
          <w:sz w:val="24"/>
          <w:szCs w:val="24"/>
        </w:rPr>
      </w:pPr>
    </w:p>
    <w:p w14:paraId="3C016791" w14:textId="276D8AEF" w:rsidR="000D0365" w:rsidRDefault="000D0365" w:rsidP="000D0365">
      <w:pPr>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E710BB1" w14:textId="5D9B5345" w:rsidR="000D0365" w:rsidRDefault="000D0365" w:rsidP="000D0365">
      <w:pPr>
        <w:spacing w:after="24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BE58DE">
        <w:rPr>
          <w:rFonts w:ascii="Times New Roman" w:hAnsi="Times New Roman" w:cs="Times New Roman"/>
          <w:sz w:val="24"/>
          <w:szCs w:val="24"/>
        </w:rPr>
        <w:tab/>
      </w:r>
      <w:r w:rsidR="00BE58DE">
        <w:rPr>
          <w:rFonts w:ascii="Times New Roman" w:hAnsi="Times New Roman" w:cs="Times New Roman"/>
          <w:sz w:val="24"/>
          <w:szCs w:val="24"/>
        </w:rPr>
        <w:tab/>
      </w:r>
      <w:r w:rsidR="00BE58DE">
        <w:rPr>
          <w:rFonts w:ascii="Times New Roman" w:hAnsi="Times New Roman" w:cs="Times New Roman"/>
          <w:sz w:val="24"/>
          <w:szCs w:val="24"/>
        </w:rPr>
        <w:tab/>
      </w:r>
      <w:r w:rsidR="00BE58DE">
        <w:rPr>
          <w:rFonts w:ascii="Times New Roman" w:hAnsi="Times New Roman" w:cs="Times New Roman"/>
          <w:sz w:val="24"/>
          <w:szCs w:val="24"/>
        </w:rPr>
        <w:tab/>
      </w:r>
      <w:r w:rsidR="00BE58DE">
        <w:rPr>
          <w:rFonts w:ascii="Times New Roman" w:hAnsi="Times New Roman" w:cs="Times New Roman"/>
          <w:sz w:val="24"/>
          <w:szCs w:val="24"/>
        </w:rPr>
        <w:tab/>
      </w:r>
      <w:r w:rsidR="00BE58DE">
        <w:rPr>
          <w:rFonts w:ascii="Times New Roman" w:hAnsi="Times New Roman" w:cs="Times New Roman"/>
          <w:sz w:val="24"/>
          <w:szCs w:val="24"/>
        </w:rPr>
        <w:tab/>
      </w:r>
      <w:r>
        <w:rPr>
          <w:rFonts w:ascii="Times New Roman" w:hAnsi="Times New Roman" w:cs="Times New Roman"/>
          <w:sz w:val="24"/>
          <w:szCs w:val="24"/>
        </w:rPr>
        <w:t>Christine Knapp, Director</w:t>
      </w:r>
    </w:p>
    <w:p w14:paraId="332A26B0" w14:textId="77777777" w:rsidR="000D0365" w:rsidRDefault="000D0365" w:rsidP="000D0365">
      <w:pPr>
        <w:spacing w:after="240"/>
        <w:rPr>
          <w:rFonts w:ascii="Times New Roman" w:hAnsi="Times New Roman" w:cs="Times New Roman"/>
          <w:sz w:val="24"/>
          <w:szCs w:val="24"/>
        </w:rPr>
      </w:pPr>
    </w:p>
    <w:p w14:paraId="731AEBD4" w14:textId="4786D9A8" w:rsidR="000D0365" w:rsidRPr="000D0365" w:rsidRDefault="000D0365" w:rsidP="000D0365">
      <w:pPr>
        <w:spacing w:after="240"/>
        <w:rPr>
          <w:rFonts w:ascii="Times New Roman" w:hAnsi="Times New Roman" w:cs="Times New Roman"/>
          <w:sz w:val="24"/>
          <w:szCs w:val="24"/>
          <w:u w:val="single"/>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Date Signed:</w:t>
      </w:r>
      <w:r>
        <w:rPr>
          <w:rFonts w:ascii="Times New Roman" w:hAnsi="Times New Roman" w:cs="Times New Roman"/>
          <w:sz w:val="24"/>
          <w:szCs w:val="24"/>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r>
        <w:rPr>
          <w:rFonts w:ascii="Times New Roman" w:hAnsi="Times New Roman" w:cs="Times New Roman"/>
          <w:sz w:val="24"/>
          <w:szCs w:val="24"/>
          <w:u w:val="single"/>
        </w:rPr>
        <w:tab/>
      </w:r>
    </w:p>
    <w:p w14:paraId="227538EF" w14:textId="77777777" w:rsidR="006349B1" w:rsidRDefault="006349B1"/>
    <w:sectPr w:rsidR="006349B1">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thor" w:date="2020-10-08T10:28:00Z" w:initials="A">
    <w:p w14:paraId="4DBD4CB2" w14:textId="5846F105" w:rsidR="008C631A" w:rsidRDefault="008C631A">
      <w:pPr>
        <w:pStyle w:val="CommentText"/>
      </w:pPr>
      <w:r>
        <w:rPr>
          <w:rStyle w:val="CommentReference"/>
        </w:rPr>
        <w:annotationRef/>
      </w:r>
      <w:r>
        <w:t>Can we include this in the regulations even though the ordinance has stipulations around ENERGY STAR certification?</w:t>
      </w:r>
    </w:p>
  </w:comment>
  <w:comment w:id="3" w:author="Author" w:date="2020-10-08T12:44:00Z" w:initials="A">
    <w:p w14:paraId="745BA2E6" w14:textId="677BD2C6" w:rsidR="008C631A" w:rsidRDefault="008C631A">
      <w:pPr>
        <w:pStyle w:val="CommentText"/>
      </w:pPr>
      <w:r>
        <w:rPr>
          <w:rStyle w:val="CommentReference"/>
        </w:rPr>
        <w:annotationRef/>
      </w:r>
      <w:r>
        <w:t xml:space="preserve">No. Has to be done pursuant </w:t>
      </w:r>
      <w:proofErr w:type="gramStart"/>
      <w:r>
        <w:t>to  iii</w:t>
      </w:r>
      <w:proofErr w:type="gramEnd"/>
      <w:r>
        <w:t>.</w:t>
      </w:r>
    </w:p>
  </w:comment>
  <w:comment w:id="2" w:author="Author" w:date="2020-10-08T12:02:00Z" w:initials="A">
    <w:p w14:paraId="5BD405A0" w14:textId="1CC98C13" w:rsidR="008C631A" w:rsidRDefault="008C631A">
      <w:pPr>
        <w:pStyle w:val="CommentText"/>
      </w:pPr>
      <w:r>
        <w:rPr>
          <w:rStyle w:val="CommentReference"/>
        </w:rPr>
        <w:annotationRef/>
      </w:r>
      <w:r>
        <w:t>Let me know if this is feasible given the legislation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A1DFAAF" w15:done="0"/>
  <w15:commentEx w15:paraId="4DBD4CB2" w15:done="0"/>
  <w15:commentEx w15:paraId="745BA2E6" w15:done="0"/>
  <w15:commentEx w15:paraId="5BD405A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A1DFAAF" w16cid:durableId="232FF9C5"/>
  <w16cid:commentId w16cid:paraId="4DBD4CB2" w16cid:durableId="2329683C"/>
  <w16cid:commentId w16cid:paraId="745BA2E6" w16cid:durableId="232AD8B2"/>
  <w16cid:commentId w16cid:paraId="5BD405A0" w16cid:durableId="23297E4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Segoe UI">
    <w:altName w:val="Calibri"/>
    <w:charset w:val="00"/>
    <w:family w:val="swiss"/>
    <w:pitch w:val="variable"/>
    <w:sig w:usb0="E4002EFF" w:usb1="C000E47F" w:usb2="00000009" w:usb3="00000000" w:csb0="000001F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832A9"/>
    <w:multiLevelType w:val="hybridMultilevel"/>
    <w:tmpl w:val="BA34CD04"/>
    <w:lvl w:ilvl="0" w:tplc="04090019">
      <w:start w:val="7"/>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B0EB4B6">
      <w:start w:val="1"/>
      <w:numFmt w:val="decimal"/>
      <w:lvlText w:val="%3."/>
      <w:lvlJc w:val="right"/>
      <w:pPr>
        <w:ind w:left="2160" w:hanging="180"/>
      </w:pPr>
      <w:rPr>
        <w:rFonts w:ascii="Times New Roman" w:eastAsiaTheme="minorHAnsi" w:hAnsi="Times New Roman" w:cs="Times New Roman"/>
      </w:rPr>
    </w:lvl>
    <w:lvl w:ilvl="3" w:tplc="97923E54">
      <w:start w:val="1"/>
      <w:numFmt w:val="upperLetter"/>
      <w:lvlText w:val="%4."/>
      <w:lvlJc w:val="left"/>
      <w:pPr>
        <w:ind w:left="2880" w:hanging="360"/>
      </w:pPr>
      <w:rPr>
        <w:rFonts w:ascii="Times New Roman" w:eastAsiaTheme="minorHAnsi" w:hAnsi="Times New Roman" w:cs="Times New Roman"/>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5C52B8"/>
    <w:multiLevelType w:val="hybridMultilevel"/>
    <w:tmpl w:val="526AFDEE"/>
    <w:lvl w:ilvl="0" w:tplc="A91E5070">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
    <w:nsid w:val="42487E8E"/>
    <w:multiLevelType w:val="hybridMultilevel"/>
    <w:tmpl w:val="F2AEC230"/>
    <w:lvl w:ilvl="0" w:tplc="04090019">
      <w:start w:val="5"/>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8475FD"/>
    <w:multiLevelType w:val="hybridMultilevel"/>
    <w:tmpl w:val="8708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751C3"/>
    <w:multiLevelType w:val="hybridMultilevel"/>
    <w:tmpl w:val="76923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787EF818">
      <w:start w:val="1"/>
      <w:numFmt w:val="decimal"/>
      <w:lvlText w:val="%3."/>
      <w:lvlJc w:val="left"/>
      <w:pPr>
        <w:ind w:left="2160" w:hanging="360"/>
      </w:pPr>
      <w:rPr>
        <w:rFonts w:asciiTheme="minorHAnsi" w:eastAsiaTheme="minorHAnsi" w:hAnsiTheme="minorHAnsi" w:cstheme="minorBidi"/>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C3517F"/>
    <w:multiLevelType w:val="hybridMultilevel"/>
    <w:tmpl w:val="9DE84D3E"/>
    <w:lvl w:ilvl="0" w:tplc="9620BED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BB7CAF"/>
    <w:multiLevelType w:val="hybridMultilevel"/>
    <w:tmpl w:val="7D70C7DA"/>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96E24CA"/>
    <w:multiLevelType w:val="hybridMultilevel"/>
    <w:tmpl w:val="C1F8C116"/>
    <w:lvl w:ilvl="0" w:tplc="1694A7A4">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05A7650"/>
    <w:multiLevelType w:val="hybridMultilevel"/>
    <w:tmpl w:val="4846F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9E6A93"/>
    <w:multiLevelType w:val="hybridMultilevel"/>
    <w:tmpl w:val="D5325632"/>
    <w:lvl w:ilvl="0" w:tplc="7BF6FE2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9"/>
  </w:num>
  <w:num w:numId="3">
    <w:abstractNumId w:val="4"/>
  </w:num>
  <w:num w:numId="4">
    <w:abstractNumId w:val="7"/>
  </w:num>
  <w:num w:numId="5">
    <w:abstractNumId w:val="2"/>
  </w:num>
  <w:num w:numId="6">
    <w:abstractNumId w:val="0"/>
  </w:num>
  <w:num w:numId="7">
    <w:abstractNumId w:val="6"/>
  </w:num>
  <w:num w:numId="8">
    <w:abstractNumId w:val="1"/>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hideGrammaticalErrors/>
  <w:proofState w:spelling="clean" w:grammar="clean"/>
  <w:defaultTabStop w:val="720"/>
  <w:doNotUseMarginsForDrawingGridOrigin/>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49B1"/>
    <w:rsid w:val="00045AC1"/>
    <w:rsid w:val="000D0365"/>
    <w:rsid w:val="000E0A79"/>
    <w:rsid w:val="0010277B"/>
    <w:rsid w:val="001129EC"/>
    <w:rsid w:val="001175F8"/>
    <w:rsid w:val="00133E8F"/>
    <w:rsid w:val="00146D6B"/>
    <w:rsid w:val="002552B9"/>
    <w:rsid w:val="002A6CDA"/>
    <w:rsid w:val="00386B3F"/>
    <w:rsid w:val="003F6C3A"/>
    <w:rsid w:val="00417FDF"/>
    <w:rsid w:val="00563411"/>
    <w:rsid w:val="006349B1"/>
    <w:rsid w:val="00746C21"/>
    <w:rsid w:val="007F7C56"/>
    <w:rsid w:val="0082420D"/>
    <w:rsid w:val="00827EDD"/>
    <w:rsid w:val="008B2078"/>
    <w:rsid w:val="008B2B9A"/>
    <w:rsid w:val="008C631A"/>
    <w:rsid w:val="009017B9"/>
    <w:rsid w:val="0094025E"/>
    <w:rsid w:val="009565C7"/>
    <w:rsid w:val="00A6115D"/>
    <w:rsid w:val="00AF5FB7"/>
    <w:rsid w:val="00AF78F4"/>
    <w:rsid w:val="00B775F8"/>
    <w:rsid w:val="00BE58DE"/>
    <w:rsid w:val="00C04622"/>
    <w:rsid w:val="00C166AE"/>
    <w:rsid w:val="00C343E8"/>
    <w:rsid w:val="00C56961"/>
    <w:rsid w:val="00CD0341"/>
    <w:rsid w:val="00D36E9D"/>
    <w:rsid w:val="00E74CF5"/>
    <w:rsid w:val="00E96B19"/>
    <w:rsid w:val="00EB532D"/>
    <w:rsid w:val="00F03830"/>
    <w:rsid w:val="00F4179A"/>
    <w:rsid w:val="00F660E4"/>
    <w:rsid w:val="00FA08D3"/>
    <w:rsid w:val="00FD215F"/>
    <w:rsid w:val="00FD23FD"/>
  </w:rsids>
  <m:mathPr>
    <m:mathFont m:val="Cambria Math"/>
    <m:brkBin m:val="before"/>
    <m:brkBinSub m:val="--"/>
    <m:smallFrac m:val="0"/>
    <m:dispDef/>
    <m:lMargin m:val="0"/>
    <m:rMargin m:val="0"/>
    <m:defJc m:val="centerGroup"/>
    <m:wrapIndent m:val="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320A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552B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4622"/>
    <w:rPr>
      <w:rFonts w:eastAsiaTheme="minorHAnsi"/>
    </w:rPr>
  </w:style>
  <w:style w:type="character" w:styleId="Hyperlink">
    <w:name w:val="Hyperlink"/>
    <w:basedOn w:val="DefaultParagraphFont"/>
    <w:uiPriority w:val="99"/>
    <w:unhideWhenUsed/>
    <w:rsid w:val="00C04622"/>
    <w:rPr>
      <w:color w:val="0000FF" w:themeColor="hyperlink"/>
      <w:u w:val="single"/>
    </w:rPr>
  </w:style>
  <w:style w:type="paragraph" w:styleId="BalloonText">
    <w:name w:val="Balloon Text"/>
    <w:basedOn w:val="Normal"/>
    <w:link w:val="BalloonTextChar"/>
    <w:uiPriority w:val="99"/>
    <w:semiHidden/>
    <w:unhideWhenUsed/>
    <w:rsid w:val="00386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B3F"/>
    <w:rPr>
      <w:rFonts w:ascii="Segoe UI" w:eastAsiaTheme="minorHAnsi" w:hAnsi="Segoe UI" w:cs="Segoe UI"/>
      <w:sz w:val="18"/>
      <w:szCs w:val="18"/>
    </w:rPr>
  </w:style>
  <w:style w:type="character" w:styleId="CommentReference">
    <w:name w:val="annotation reference"/>
    <w:basedOn w:val="DefaultParagraphFont"/>
    <w:uiPriority w:val="99"/>
    <w:semiHidden/>
    <w:unhideWhenUsed/>
    <w:rsid w:val="003F6C3A"/>
    <w:rPr>
      <w:sz w:val="16"/>
      <w:szCs w:val="16"/>
    </w:rPr>
  </w:style>
  <w:style w:type="paragraph" w:styleId="CommentText">
    <w:name w:val="annotation text"/>
    <w:basedOn w:val="Normal"/>
    <w:link w:val="CommentTextChar"/>
    <w:uiPriority w:val="99"/>
    <w:semiHidden/>
    <w:unhideWhenUsed/>
    <w:rsid w:val="003F6C3A"/>
    <w:rPr>
      <w:sz w:val="20"/>
      <w:szCs w:val="20"/>
    </w:rPr>
  </w:style>
  <w:style w:type="character" w:customStyle="1" w:styleId="CommentTextChar">
    <w:name w:val="Comment Text Char"/>
    <w:basedOn w:val="DefaultParagraphFont"/>
    <w:link w:val="CommentText"/>
    <w:uiPriority w:val="99"/>
    <w:semiHidden/>
    <w:rsid w:val="003F6C3A"/>
    <w:rPr>
      <w:rFonts w:ascii="Calibri" w:eastAsiaTheme="minorHAnsi" w:hAnsi="Calibri" w:cs="Calibri"/>
      <w:sz w:val="20"/>
      <w:szCs w:val="20"/>
    </w:rPr>
  </w:style>
  <w:style w:type="paragraph" w:styleId="CommentSubject">
    <w:name w:val="annotation subject"/>
    <w:basedOn w:val="CommentText"/>
    <w:next w:val="CommentText"/>
    <w:link w:val="CommentSubjectChar"/>
    <w:uiPriority w:val="99"/>
    <w:semiHidden/>
    <w:unhideWhenUsed/>
    <w:rsid w:val="003F6C3A"/>
    <w:rPr>
      <w:b/>
      <w:bCs/>
    </w:rPr>
  </w:style>
  <w:style w:type="character" w:customStyle="1" w:styleId="CommentSubjectChar">
    <w:name w:val="Comment Subject Char"/>
    <w:basedOn w:val="CommentTextChar"/>
    <w:link w:val="CommentSubject"/>
    <w:uiPriority w:val="99"/>
    <w:semiHidden/>
    <w:rsid w:val="003F6C3A"/>
    <w:rPr>
      <w:rFonts w:ascii="Calibri" w:eastAsiaTheme="minorHAnsi" w:hAnsi="Calibri" w:cs="Calibri"/>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Theme="minorHAnsi"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2552B9"/>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C04622"/>
    <w:rPr>
      <w:rFonts w:eastAsiaTheme="minorHAnsi"/>
    </w:rPr>
  </w:style>
  <w:style w:type="character" w:styleId="Hyperlink">
    <w:name w:val="Hyperlink"/>
    <w:basedOn w:val="DefaultParagraphFont"/>
    <w:uiPriority w:val="99"/>
    <w:unhideWhenUsed/>
    <w:rsid w:val="00C04622"/>
    <w:rPr>
      <w:color w:val="0000FF" w:themeColor="hyperlink"/>
      <w:u w:val="single"/>
    </w:rPr>
  </w:style>
  <w:style w:type="paragraph" w:styleId="BalloonText">
    <w:name w:val="Balloon Text"/>
    <w:basedOn w:val="Normal"/>
    <w:link w:val="BalloonTextChar"/>
    <w:uiPriority w:val="99"/>
    <w:semiHidden/>
    <w:unhideWhenUsed/>
    <w:rsid w:val="00386B3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6B3F"/>
    <w:rPr>
      <w:rFonts w:ascii="Segoe UI" w:eastAsiaTheme="minorHAnsi" w:hAnsi="Segoe UI" w:cs="Segoe UI"/>
      <w:sz w:val="18"/>
      <w:szCs w:val="18"/>
    </w:rPr>
  </w:style>
  <w:style w:type="character" w:styleId="CommentReference">
    <w:name w:val="annotation reference"/>
    <w:basedOn w:val="DefaultParagraphFont"/>
    <w:uiPriority w:val="99"/>
    <w:semiHidden/>
    <w:unhideWhenUsed/>
    <w:rsid w:val="003F6C3A"/>
    <w:rPr>
      <w:sz w:val="16"/>
      <w:szCs w:val="16"/>
    </w:rPr>
  </w:style>
  <w:style w:type="paragraph" w:styleId="CommentText">
    <w:name w:val="annotation text"/>
    <w:basedOn w:val="Normal"/>
    <w:link w:val="CommentTextChar"/>
    <w:uiPriority w:val="99"/>
    <w:semiHidden/>
    <w:unhideWhenUsed/>
    <w:rsid w:val="003F6C3A"/>
    <w:rPr>
      <w:sz w:val="20"/>
      <w:szCs w:val="20"/>
    </w:rPr>
  </w:style>
  <w:style w:type="character" w:customStyle="1" w:styleId="CommentTextChar">
    <w:name w:val="Comment Text Char"/>
    <w:basedOn w:val="DefaultParagraphFont"/>
    <w:link w:val="CommentText"/>
    <w:uiPriority w:val="99"/>
    <w:semiHidden/>
    <w:rsid w:val="003F6C3A"/>
    <w:rPr>
      <w:rFonts w:ascii="Calibri" w:eastAsiaTheme="minorHAnsi" w:hAnsi="Calibri" w:cs="Calibri"/>
      <w:sz w:val="20"/>
      <w:szCs w:val="20"/>
    </w:rPr>
  </w:style>
  <w:style w:type="paragraph" w:styleId="CommentSubject">
    <w:name w:val="annotation subject"/>
    <w:basedOn w:val="CommentText"/>
    <w:next w:val="CommentText"/>
    <w:link w:val="CommentSubjectChar"/>
    <w:uiPriority w:val="99"/>
    <w:semiHidden/>
    <w:unhideWhenUsed/>
    <w:rsid w:val="003F6C3A"/>
    <w:rPr>
      <w:b/>
      <w:bCs/>
    </w:rPr>
  </w:style>
  <w:style w:type="character" w:customStyle="1" w:styleId="CommentSubjectChar">
    <w:name w:val="Comment Subject Char"/>
    <w:basedOn w:val="CommentTextChar"/>
    <w:link w:val="CommentSubject"/>
    <w:uiPriority w:val="99"/>
    <w:semiHidden/>
    <w:rsid w:val="003F6C3A"/>
    <w:rPr>
      <w:rFonts w:ascii="Calibri" w:eastAsiaTheme="minorHAnsi"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usgbc.org/credits/existing-buildings-schools-existing-buildings-retail-existing-buildings-hospitality-exist-17" TargetMode="Externa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0" Type="http://schemas.microsoft.com/office/2011/relationships/commentsExtended" Target="commentsExtended.xml"/><Relationship Id="rId11" Type="http://schemas.microsoft.com/office/2016/09/relationships/commentsIds" Target="commentsId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a:solidFill>
            <a:schemeClr val="phClr">
              <a:shade val="95000"/>
              <a:satMod val="104999"/>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4881</Words>
  <Characters>27828</Characters>
  <Application>Microsoft Macintosh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2020-10-13T19:07:00Z</dcterms:created>
  <dcterms:modified xsi:type="dcterms:W3CDTF">2020-10-13T19:16:00Z</dcterms:modified>
  <cp:version>04.2000</cp:version>
</cp:coreProperties>
</file>