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rPr>
          <w:rFonts w:ascii="Garamond" w:cs="Garamond" w:eastAsia="Garamond" w:hAnsi="Garamond"/>
          <w:b w:val="1"/>
          <w:bCs w:val="1"/>
          <w:i w:val="1"/>
          <w:i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Garamond" w:cs="Garamond" w:eastAsia="Garamond" w:hAnsi="Garamond"/>
          <w:b w:val="1"/>
          <w:bCs w:val="1"/>
          <w:i w:val="1"/>
          <w:iCs w:val="1"/>
          <w:strike w:val="1"/>
          <w:sz w:val="40"/>
          <w:szCs w:val="40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i w:val="1"/>
          <w:iCs w:val="1"/>
          <w:strike w:val="1"/>
          <w:sz w:val="40"/>
          <w:szCs w:val="40"/>
        </w:rPr>
        <w:drawing>
          <wp:inline distB="0" distT="0" distL="0" distR="0">
            <wp:extent cx="3339938" cy="352259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39938" cy="35225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Garamond" w:cs="Garamond" w:eastAsia="Garamond" w:hAnsi="Garamond"/>
          <w:b w:val="1"/>
          <w:bCs w:val="1"/>
          <w:i w:val="1"/>
          <w:i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Garamond" w:cs="Garamond" w:eastAsia="Garamond" w:hAnsi="Garamond"/>
          <w:b w:val="1"/>
          <w:bCs w:val="1"/>
          <w:i w:val="1"/>
          <w:iCs w:val="1"/>
          <w:sz w:val="40"/>
          <w:szCs w:val="40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i w:val="1"/>
          <w:iCs w:val="1"/>
          <w:sz w:val="40"/>
          <w:szCs w:val="40"/>
          <w:rtl w:val="0"/>
        </w:rPr>
        <w:t xml:space="preserve">THE REPUBLIC OF ICENIA</w:t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Garamond" w:cs="Garamond" w:eastAsia="Garamond" w:hAnsi="Garamond"/>
          <w:b w:val="1"/>
          <w:bCs w:val="1"/>
          <w:i w:val="1"/>
          <w:i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28" w:lineRule="auto"/>
        <w:rPr>
          <w:b w:val="1"/>
          <w:bCs w:val="1"/>
          <w:sz w:val="72"/>
          <w:szCs w:val="7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center"/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2649.6000000000004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line="240" w:lineRule="auto"/>
              <w:jc w:val="center"/>
              <w:rPr>
                <w:rFonts w:ascii="Garamond" w:cs="Garamond" w:eastAsia="Garamond" w:hAnsi="Garamond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Garamond" w:cs="Garamond" w:eastAsia="Garamond" w:hAnsi="Garamond"/>
                <w:b w:val="1"/>
                <w:bCs w:val="1"/>
                <w:sz w:val="72"/>
                <w:szCs w:val="72"/>
                <w:rtl w:val="0"/>
              </w:rPr>
              <w:t xml:space="preserve">State of Cortesia Del Mar</w:t>
            </w:r>
          </w:p>
        </w:tc>
      </w:tr>
    </w:tbl>
    <w:p w:rsidR="00000000" w:rsidDel="00000000" w:rsidP="00000000" w:rsidRDefault="00000000" w:rsidRPr="00000000" w14:paraId="00000008">
      <w:pPr>
        <w:spacing w:line="32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rtl w:val="0"/>
        </w:rPr>
        <w:t xml:space="preserve">This document, last compiled by </w:t>
      </w:r>
      <w:r w:rsidDel="00000000" w:rsidR="00000000" w:rsidRPr="00000000">
        <w:rPr>
          <w:b w:val="1"/>
          <w:bCs w:val="1"/>
          <w:rtl w:val="0"/>
        </w:rPr>
        <w:t xml:space="preserve">CreepilyCreep</w:t>
      </w:r>
      <w:r w:rsidDel="00000000" w:rsidR="00000000" w:rsidRPr="00000000">
        <w:rPr>
          <w:rtl w:val="0"/>
        </w:rPr>
        <w:t xml:space="preserve">, </w:t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rtl w:val="0"/>
        </w:rPr>
        <w:t xml:space="preserve">includes all legislation enacted and amended </w:t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>
          <w:rtl w:val="0"/>
        </w:rPr>
        <w:t xml:space="preserve">up to and including the </w:t>
      </w:r>
      <w:r w:rsidDel="00000000" w:rsidR="00000000" w:rsidRPr="00000000">
        <w:rPr>
          <w:b w:val="1"/>
          <w:bCs w:val="1"/>
          <w:rtl w:val="0"/>
        </w:rPr>
        <w:t xml:space="preserve">Second Treaty of Santiago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>
          <w:rtl w:val="0"/>
        </w:rPr>
        <w:t xml:space="preserve">passed on </w:t>
      </w:r>
      <w:r w:rsidDel="00000000" w:rsidR="00000000" w:rsidRPr="00000000">
        <w:rPr>
          <w:b w:val="1"/>
          <w:bCs w:val="1"/>
          <w:rtl w:val="0"/>
        </w:rPr>
        <w:t xml:space="preserve">25th August 2025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F">
      <w:pPr>
        <w:jc w:val="lef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Title"/>
        <w:spacing w:after="240" w:before="480" w:line="240" w:lineRule="auto"/>
        <w:jc w:val="center"/>
        <w:rPr>
          <w:rFonts w:ascii="Calibri" w:cs="Calibri" w:eastAsia="Calibri" w:hAnsi="Calibri"/>
          <w:b w:val="1"/>
          <w:bCs w:val="1"/>
          <w:color w:val="335b8a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35b8a"/>
          <w:sz w:val="36"/>
          <w:szCs w:val="36"/>
          <w:rtl w:val="0"/>
        </w:rPr>
        <w:t xml:space="preserve">Grant of Statehood to Cortesia Del Mar (CDM)</w:t>
      </w:r>
    </w:p>
    <w:p w:rsidR="00000000" w:rsidDel="00000000" w:rsidP="00000000" w:rsidRDefault="00000000" w:rsidRPr="00000000" w14:paraId="00000011">
      <w:pPr>
        <w:spacing w:after="180" w:before="180"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This document outlines the grant of autonomy of Cortesia Del Mar (CDM) as a State under the Icenian Constitution, Article VIII.</w:t>
      </w:r>
    </w:p>
    <w:bookmarkStart w:colFirst="0" w:colLast="0" w:name="bookmark=kix.8f71w5j1mfj0" w:id="0"/>
    <w:bookmarkEnd w:id="0"/>
    <w:p w:rsidR="00000000" w:rsidDel="00000000" w:rsidP="00000000" w:rsidRDefault="00000000" w:rsidRPr="00000000" w14:paraId="00000012">
      <w:pPr>
        <w:pStyle w:val="Heading2"/>
        <w:spacing w:after="0" w:before="200" w:line="240" w:lineRule="auto"/>
        <w:rPr>
          <w:rFonts w:ascii="Calibri" w:cs="Calibri" w:eastAsia="Calibri" w:hAnsi="Calibri"/>
          <w:b w:val="1"/>
          <w:bCs w:val="1"/>
          <w:color w:val="4f81bd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f81bd"/>
          <w:sz w:val="28"/>
          <w:szCs w:val="28"/>
          <w:rtl w:val="0"/>
        </w:rPr>
        <w:t xml:space="preserve">Governance &amp; Compliance</w:t>
      </w:r>
    </w:p>
    <w:p w:rsidR="00000000" w:rsidDel="00000000" w:rsidP="00000000" w:rsidRDefault="00000000" w:rsidRPr="00000000" w14:paraId="00000013">
      <w:pPr>
        <w:spacing w:after="180" w:before="180"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Cortesia Del Mar is to be governed by its Cabinet, which consists of members democratically appointed by state citizens under the Cortesian Constitution.</w:t>
      </w:r>
    </w:p>
    <w:p w:rsidR="00000000" w:rsidDel="00000000" w:rsidP="00000000" w:rsidRDefault="00000000" w:rsidRPr="00000000" w14:paraId="00000014">
      <w:pPr>
        <w:spacing w:after="180" w:before="180"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Cortesia Del Mar is governed in accordance with its Constitution.</w:t>
      </w:r>
    </w:p>
    <w:bookmarkStart w:colFirst="0" w:colLast="0" w:name="bookmark=kix.xet4f8w82icg" w:id="1"/>
    <w:bookmarkEnd w:id="1"/>
    <w:p w:rsidR="00000000" w:rsidDel="00000000" w:rsidP="00000000" w:rsidRDefault="00000000" w:rsidRPr="00000000" w14:paraId="00000015">
      <w:pPr>
        <w:pStyle w:val="Heading2"/>
        <w:spacing w:after="0" w:before="200" w:line="240" w:lineRule="auto"/>
        <w:rPr>
          <w:rFonts w:ascii="Calibri" w:cs="Calibri" w:eastAsia="Calibri" w:hAnsi="Calibri"/>
          <w:b w:val="1"/>
          <w:bCs w:val="1"/>
          <w:color w:val="4f81bd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f81bd"/>
          <w:sz w:val="28"/>
          <w:szCs w:val="28"/>
          <w:rtl w:val="0"/>
        </w:rPr>
        <w:t xml:space="preserve">Claims &amp; Holdings</w:t>
      </w:r>
    </w:p>
    <w:p w:rsidR="00000000" w:rsidDel="00000000" w:rsidP="00000000" w:rsidRDefault="00000000" w:rsidRPr="00000000" w14:paraId="00000016">
      <w:pPr>
        <w:spacing w:after="180" w:before="180"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Cortesia Del Mar will operate within the territory below:</w:t>
        <w:br w:type="textWrapping"/>
      </w:r>
      <w:r w:rsidDel="00000000" w:rsidR="00000000" w:rsidRPr="00000000">
        <w:rPr>
          <w:rFonts w:ascii="Georgia" w:cs="Georgia" w:eastAsia="Georgia" w:hAnsi="Georgia"/>
          <w:b w:val="1"/>
          <w:bCs w:val="1"/>
        </w:rPr>
        <w:drawing>
          <wp:inline distB="114300" distT="114300" distL="114300" distR="114300">
            <wp:extent cx="4129088" cy="3778380"/>
            <wp:effectExtent b="0" l="0" r="0" t="0"/>
            <wp:docPr id="1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24" l="0" r="0" t="25"/>
                    <a:stretch>
                      <a:fillRect/>
                    </a:stretch>
                  </pic:blipFill>
                  <pic:spPr>
                    <a:xfrm>
                      <a:off x="0" y="0"/>
                      <a:ext cx="4129088" cy="37783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80" w:before="180"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Cortesia Del Mar is the implicit owner of all infrastructure, military, industrial, or otherwise, within its borders. All future construction is to be approved by the Cabinet.</w:t>
      </w:r>
    </w:p>
    <w:p w:rsidR="00000000" w:rsidDel="00000000" w:rsidP="00000000" w:rsidRDefault="00000000" w:rsidRPr="00000000" w14:paraId="00000018">
      <w:pPr>
        <w:spacing w:after="180" w:before="180"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Cortesia Del Mar may engage in negotiations to adjust or amend its borders without immediate notice to Icenia, or amendment to this document.</w:t>
      </w:r>
    </w:p>
    <w:bookmarkStart w:colFirst="0" w:colLast="0" w:name="bookmark=kix.7eit3grgk3iv" w:id="2"/>
    <w:bookmarkEnd w:id="2"/>
    <w:p w:rsidR="00000000" w:rsidDel="00000000" w:rsidP="00000000" w:rsidRDefault="00000000" w:rsidRPr="00000000" w14:paraId="00000019">
      <w:pPr>
        <w:pStyle w:val="Heading2"/>
        <w:spacing w:after="0" w:before="200" w:line="240" w:lineRule="auto"/>
        <w:rPr>
          <w:rFonts w:ascii="Calibri" w:cs="Calibri" w:eastAsia="Calibri" w:hAnsi="Calibri"/>
          <w:b w:val="1"/>
          <w:bCs w:val="1"/>
          <w:color w:val="4f81bd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f81bd"/>
          <w:sz w:val="28"/>
          <w:szCs w:val="28"/>
          <w:rtl w:val="0"/>
        </w:rPr>
        <w:t xml:space="preserve">Secession</w:t>
      </w:r>
    </w:p>
    <w:p w:rsidR="00000000" w:rsidDel="00000000" w:rsidP="00000000" w:rsidRDefault="00000000" w:rsidRPr="00000000" w14:paraId="0000001A">
      <w:pPr>
        <w:spacing w:after="180" w:before="180" w:line="240" w:lineRule="auto"/>
        <w:ind w:left="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Cortesia Del Mar shall be granted, as an “additional subject” under Article VIII (a) of the Constitution, the power to secede from Icenia via a Cortesian national referendum as outlined by its constitution.</w:t>
      </w:r>
    </w:p>
    <w:p w:rsidR="00000000" w:rsidDel="00000000" w:rsidP="00000000" w:rsidRDefault="00000000" w:rsidRPr="00000000" w14:paraId="0000001B">
      <w:pPr>
        <w:spacing w:after="180" w:before="180" w:line="240" w:lineRule="auto"/>
        <w:ind w:left="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Cortesia Del Mar will automatically secede should this secession clause be repealed.</w:t>
      </w:r>
    </w:p>
    <w:p w:rsidR="00000000" w:rsidDel="00000000" w:rsidP="00000000" w:rsidRDefault="00000000" w:rsidRPr="00000000" w14:paraId="0000001C">
      <w:pPr>
        <w:spacing w:after="180" w:before="180" w:line="240" w:lineRule="auto"/>
        <w:ind w:left="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Cortesia Del Mar will automatically secede should it be dissolved under Article VIII (c) of the Icenian Constitution.</w:t>
      </w:r>
      <w:r w:rsidDel="00000000" w:rsidR="00000000" w:rsidRPr="00000000">
        <w:rPr>
          <w:rtl w:val="0"/>
        </w:rPr>
      </w:r>
    </w:p>
    <w:bookmarkStart w:colFirst="0" w:colLast="0" w:name="bookmark=kix.st3tkxqthc7s" w:id="3"/>
    <w:bookmarkEnd w:id="3"/>
    <w:p w:rsidR="00000000" w:rsidDel="00000000" w:rsidP="00000000" w:rsidRDefault="00000000" w:rsidRPr="00000000" w14:paraId="0000001D">
      <w:pPr>
        <w:pStyle w:val="Heading2"/>
        <w:spacing w:after="0" w:before="200" w:line="240" w:lineRule="auto"/>
        <w:rPr>
          <w:rFonts w:ascii="Calibri" w:cs="Calibri" w:eastAsia="Calibri" w:hAnsi="Calibri"/>
          <w:b w:val="1"/>
          <w:bCs w:val="1"/>
          <w:color w:val="4f81bd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f81bd"/>
          <w:sz w:val="28"/>
          <w:szCs w:val="28"/>
          <w:rtl w:val="0"/>
        </w:rPr>
        <w:t xml:space="preserve">Additional Considerations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36" w:before="36" w:line="240" w:lineRule="auto"/>
        <w:ind w:left="720" w:hanging="48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Cortesia Del Mar reserves the right to import &amp; export openly to the international market, without taxation or regulation.</w:t>
      </w:r>
    </w:p>
    <w:p w:rsidR="00000000" w:rsidDel="00000000" w:rsidP="00000000" w:rsidRDefault="00000000" w:rsidRPr="00000000" w14:paraId="0000001F">
      <w:pPr>
        <w:spacing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64"/>
          <w:szCs w:val="64"/>
        </w:rPr>
      </w:pPr>
      <w:r w:rsidDel="00000000" w:rsidR="00000000" w:rsidRPr="00000000">
        <w:rPr>
          <w:rtl w:val="0"/>
        </w:rPr>
      </w:r>
    </w:p>
    <w:sectPr>
      <w:headerReference r:id="rId9" w:type="first"/>
      <w:footerReference r:id="rId10" w:type="firs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ambria"/>
  <w:font w:name="Georgia"/>
  <w:font w:name="Times New Roman"/>
  <w:font w:name="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rPr/>
    </w:pPr>
    <w:r w:rsidDel="00000000" w:rsidR="00000000" w:rsidRPr="00000000">
      <w:rPr>
        <w:rtl w:val="0"/>
      </w:rPr>
      <w:t xml:space="preserve">This document, last compiled by </w:t>
    </w:r>
    <w:r w:rsidDel="00000000" w:rsidR="00000000" w:rsidRPr="00000000">
      <w:rPr>
        <w:b w:val="1"/>
        <w:bCs w:val="1"/>
        <w:rtl w:val="0"/>
      </w:rPr>
      <w:t xml:space="preserve">CreepilyCreep</w:t>
    </w:r>
    <w:r w:rsidDel="00000000" w:rsidR="00000000" w:rsidRPr="00000000">
      <w:rPr>
        <w:rtl w:val="0"/>
      </w:rPr>
      <w:t xml:space="preserve">, includes all legislation enacted and amended up to and including the </w:t>
    </w:r>
    <w:r w:rsidDel="00000000" w:rsidR="00000000" w:rsidRPr="00000000">
      <w:rPr>
        <w:b w:val="1"/>
        <w:bCs w:val="1"/>
        <w:rtl w:val="0"/>
      </w:rPr>
      <w:t xml:space="preserve">Archival Standards Act</w:t>
    </w:r>
    <w:r w:rsidDel="00000000" w:rsidR="00000000" w:rsidRPr="00000000">
      <w:rPr>
        <w:rtl w:val="0"/>
      </w:rPr>
      <w:t xml:space="preserve"> passed on </w:t>
    </w:r>
    <w:r w:rsidDel="00000000" w:rsidR="00000000" w:rsidRPr="00000000">
      <w:rPr>
        <w:b w:val="1"/>
        <w:bCs w:val="1"/>
        <w:rtl w:val="0"/>
      </w:rPr>
      <w:t xml:space="preserve">3rd January 2026</w:t>
    </w:r>
    <w:r w:rsidDel="00000000" w:rsidR="00000000" w:rsidRPr="00000000">
      <w:rPr>
        <w:rtl w:val="0"/>
      </w:rPr>
      <w:t xml:space="preserve">.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•"/>
      <w:lvlJc w:val="left"/>
      <w:pPr>
        <w:ind w:left="720" w:hanging="480"/>
      </w:pPr>
      <w:rPr>
        <w:u w:val="none"/>
      </w:rPr>
    </w:lvl>
    <w:lvl w:ilvl="1">
      <w:start w:val="0"/>
      <w:numFmt w:val="bullet"/>
      <w:lvlText w:val="–"/>
      <w:lvlJc w:val="left"/>
      <w:pPr>
        <w:ind w:left="1440" w:hanging="480"/>
      </w:pPr>
      <w:rPr>
        <w:u w:val="none"/>
      </w:rPr>
    </w:lvl>
    <w:lvl w:ilvl="2">
      <w:start w:val="0"/>
      <w:numFmt w:val="bullet"/>
      <w:lvlText w:val="•"/>
      <w:lvlJc w:val="left"/>
      <w:pPr>
        <w:ind w:left="2160" w:hanging="480"/>
      </w:pPr>
      <w:rPr>
        <w:u w:val="none"/>
      </w:rPr>
    </w:lvl>
    <w:lvl w:ilvl="3">
      <w:start w:val="0"/>
      <w:numFmt w:val="bullet"/>
      <w:lvlText w:val="–"/>
      <w:lvlJc w:val="left"/>
      <w:pPr>
        <w:ind w:left="2880" w:hanging="480"/>
      </w:pPr>
      <w:rPr>
        <w:u w:val="none"/>
      </w:rPr>
    </w:lvl>
    <w:lvl w:ilvl="4">
      <w:start w:val="0"/>
      <w:numFmt w:val="bullet"/>
      <w:lvlText w:val="•"/>
      <w:lvlJc w:val="left"/>
      <w:pPr>
        <w:ind w:left="3600" w:hanging="480"/>
      </w:pPr>
      <w:rPr>
        <w:u w:val="none"/>
      </w:rPr>
    </w:lvl>
    <w:lvl w:ilvl="5">
      <w:start w:val="0"/>
      <w:numFmt w:val="bullet"/>
      <w:lvlText w:val="–"/>
      <w:lvlJc w:val="left"/>
      <w:pPr>
        <w:ind w:left="4320" w:hanging="480"/>
      </w:pPr>
      <w:rPr>
        <w:u w:val="none"/>
      </w:rPr>
    </w:lvl>
    <w:lvl w:ilvl="6">
      <w:start w:val="0"/>
      <w:numFmt w:val="bullet"/>
      <w:lvlText w:val="•"/>
      <w:lvlJc w:val="left"/>
      <w:pPr>
        <w:ind w:left="5040" w:hanging="480"/>
      </w:pPr>
      <w:rPr>
        <w:u w:val="none"/>
      </w:rPr>
    </w:lvl>
    <w:lvl w:ilvl="7">
      <w:start w:val="0"/>
      <w:numFmt w:val="bullet"/>
      <w:lvlText w:val="–"/>
      <w:lvlJc w:val="left"/>
      <w:pPr>
        <w:ind w:left="5760" w:hanging="480"/>
      </w:pPr>
      <w:rPr>
        <w:u w:val="none"/>
      </w:rPr>
    </w:lvl>
    <w:lvl w:ilvl="8">
      <w:start w:val="0"/>
      <w:numFmt w:val="bullet"/>
      <w:lvlText w:val="•"/>
      <w:lvlJc w:val="left"/>
      <w:pPr>
        <w:ind w:left="6480" w:hanging="48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aramond-regular.ttf"/><Relationship Id="rId2" Type="http://schemas.openxmlformats.org/officeDocument/2006/relationships/font" Target="fonts/Garamond-bold.ttf"/><Relationship Id="rId3" Type="http://schemas.openxmlformats.org/officeDocument/2006/relationships/font" Target="fonts/Garamond-italic.ttf"/><Relationship Id="rId4" Type="http://schemas.openxmlformats.org/officeDocument/2006/relationships/font" Target="fonts/Garamond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BqYbVRzkK7njivT6RWIL0rjVTA==">CgMxLjAyEGtpeC44ZjcxdzVqMW1majAyEGtpeC54ZXQ0Zjh3ODJpY2cyEGtpeC43ZWl0M2dyZ2szaXYyEGtpeC5zdDN0a3hxdGhjN3M4AHIhMVNGVzFQTDFIX3htRzB0cmRGZ3ZXcnBXT3pxd3NxYVVz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