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49948" w14:textId="77777777" w:rsidR="004200B0" w:rsidRDefault="004200B0">
      <w:pPr>
        <w:spacing w:line="240" w:lineRule="auto"/>
        <w:rPr>
          <w:rFonts w:ascii="Garamond" w:eastAsia="Garamond" w:hAnsi="Garamond" w:cs="Garamond"/>
          <w:b/>
          <w:bCs/>
          <w:i/>
          <w:iCs/>
          <w:sz w:val="40"/>
          <w:szCs w:val="40"/>
        </w:rPr>
      </w:pPr>
    </w:p>
    <w:p w14:paraId="27D93E51" w14:textId="77777777" w:rsidR="004200B0" w:rsidRDefault="00000000">
      <w:pPr>
        <w:spacing w:line="240" w:lineRule="auto"/>
        <w:jc w:val="center"/>
        <w:rPr>
          <w:rFonts w:ascii="Garamond" w:eastAsia="Garamond" w:hAnsi="Garamond" w:cs="Garamond"/>
          <w:b/>
          <w:bCs/>
          <w:i/>
          <w:iCs/>
          <w:strike/>
          <w:sz w:val="40"/>
          <w:szCs w:val="40"/>
        </w:rPr>
      </w:pPr>
      <w:r>
        <w:rPr>
          <w:rFonts w:ascii="Garamond" w:eastAsia="Garamond" w:hAnsi="Garamond" w:cs="Garamond"/>
          <w:b/>
          <w:bCs/>
          <w:i/>
          <w:iCs/>
          <w:strike/>
          <w:noProof/>
          <w:sz w:val="40"/>
          <w:szCs w:val="40"/>
        </w:rPr>
        <w:drawing>
          <wp:inline distT="0" distB="0" distL="0" distR="0" wp14:anchorId="5E8946C7" wp14:editId="536D1FC0">
            <wp:extent cx="3339938" cy="352259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39938" cy="3522590"/>
                    </a:xfrm>
                    <a:prstGeom prst="rect">
                      <a:avLst/>
                    </a:prstGeom>
                    <a:ln/>
                  </pic:spPr>
                </pic:pic>
              </a:graphicData>
            </a:graphic>
          </wp:inline>
        </w:drawing>
      </w:r>
    </w:p>
    <w:p w14:paraId="54387720" w14:textId="77777777" w:rsidR="004200B0" w:rsidRDefault="004200B0">
      <w:pPr>
        <w:spacing w:line="240" w:lineRule="auto"/>
        <w:jc w:val="center"/>
        <w:rPr>
          <w:rFonts w:ascii="Garamond" w:eastAsia="Garamond" w:hAnsi="Garamond" w:cs="Garamond"/>
          <w:b/>
          <w:bCs/>
          <w:i/>
          <w:iCs/>
          <w:sz w:val="40"/>
          <w:szCs w:val="40"/>
        </w:rPr>
      </w:pPr>
    </w:p>
    <w:p w14:paraId="7051F4D0" w14:textId="77777777" w:rsidR="0022184E" w:rsidRDefault="00000000" w:rsidP="0022184E">
      <w:pPr>
        <w:spacing w:line="240" w:lineRule="auto"/>
        <w:jc w:val="center"/>
        <w:rPr>
          <w:rFonts w:ascii="Garamond" w:eastAsia="Garamond" w:hAnsi="Garamond" w:cs="Garamond"/>
          <w:b/>
          <w:bCs/>
          <w:i/>
          <w:iCs/>
          <w:sz w:val="40"/>
          <w:szCs w:val="40"/>
        </w:rPr>
      </w:pPr>
      <w:r>
        <w:rPr>
          <w:rFonts w:ascii="Garamond" w:eastAsia="Garamond" w:hAnsi="Garamond" w:cs="Garamond"/>
          <w:b/>
          <w:bCs/>
          <w:i/>
          <w:iCs/>
          <w:sz w:val="40"/>
          <w:szCs w:val="40"/>
        </w:rPr>
        <w:t xml:space="preserve">THE REPUBLIC OF </w:t>
      </w:r>
      <w:r w:rsidR="00352693">
        <w:rPr>
          <w:rFonts w:ascii="Garamond" w:eastAsia="Garamond" w:hAnsi="Garamond" w:cs="Garamond"/>
          <w:b/>
          <w:bCs/>
          <w:i/>
          <w:iCs/>
          <w:sz w:val="40"/>
          <w:szCs w:val="40"/>
        </w:rPr>
        <w:t>ICENIA</w:t>
      </w:r>
    </w:p>
    <w:p w14:paraId="1329BB3D" w14:textId="77777777" w:rsidR="0022184E" w:rsidRDefault="0022184E" w:rsidP="0022184E">
      <w:pPr>
        <w:spacing w:line="240" w:lineRule="auto"/>
        <w:jc w:val="center"/>
        <w:rPr>
          <w:rFonts w:ascii="Garamond" w:eastAsia="Garamond" w:hAnsi="Garamond" w:cs="Garamond"/>
          <w:b/>
          <w:bCs/>
          <w:i/>
          <w:iCs/>
          <w:sz w:val="40"/>
          <w:szCs w:val="40"/>
        </w:rPr>
      </w:pPr>
    </w:p>
    <w:p w14:paraId="4300C763" w14:textId="77777777" w:rsidR="0022184E" w:rsidRDefault="0022184E" w:rsidP="0022184E">
      <w:pPr>
        <w:jc w:val="center"/>
        <w:rPr>
          <w:rFonts w:ascii="Times New Roman" w:eastAsia="Times New Roman" w:hAnsi="Times New Roman" w:cs="Times New Roman"/>
          <w:b/>
          <w:bCs/>
          <w:sz w:val="24"/>
          <w:szCs w:val="24"/>
        </w:rPr>
      </w:pPr>
    </w:p>
    <w:tbl>
      <w:tblPr>
        <w:tblW w:w="9029" w:type="dxa"/>
        <w:jc w:val="center"/>
        <w:tblBorders>
          <w:top w:val="single" w:sz="18" w:space="0" w:color="000000"/>
          <w:bottom w:val="single" w:sz="18" w:space="0" w:color="000000"/>
        </w:tblBorders>
        <w:tblLayout w:type="fixed"/>
        <w:tblLook w:val="0600" w:firstRow="0" w:lastRow="0" w:firstColumn="0" w:lastColumn="0" w:noHBand="1" w:noVBand="1"/>
      </w:tblPr>
      <w:tblGrid>
        <w:gridCol w:w="9029"/>
      </w:tblGrid>
      <w:tr w:rsidR="0022184E" w14:paraId="3573FCC3" w14:textId="77777777" w:rsidTr="00484213">
        <w:trPr>
          <w:trHeight w:val="2649"/>
          <w:jc w:val="center"/>
        </w:trPr>
        <w:tc>
          <w:tcPr>
            <w:tcW w:w="9029" w:type="dxa"/>
            <w:tcBorders>
              <w:top w:val="single" w:sz="12" w:space="0" w:color="666666"/>
              <w:left w:val="single" w:sz="4" w:space="0" w:color="FFFFFF"/>
              <w:bottom w:val="single" w:sz="12" w:space="0" w:color="666666"/>
              <w:right w:val="single" w:sz="4" w:space="0" w:color="FFFFFF"/>
            </w:tcBorders>
            <w:shd w:val="clear" w:color="auto" w:fill="FFFFFF"/>
            <w:tcMar>
              <w:top w:w="100" w:type="dxa"/>
              <w:left w:w="100" w:type="dxa"/>
              <w:bottom w:w="100" w:type="dxa"/>
              <w:right w:w="100" w:type="dxa"/>
            </w:tcMar>
            <w:vAlign w:val="center"/>
          </w:tcPr>
          <w:p w14:paraId="0FEDEB99" w14:textId="1BD9F1E6" w:rsidR="0022184E" w:rsidRDefault="0022184E" w:rsidP="00484213">
            <w:pPr>
              <w:spacing w:line="240" w:lineRule="auto"/>
              <w:jc w:val="center"/>
              <w:rPr>
                <w:rFonts w:ascii="Garamond" w:eastAsia="Garamond" w:hAnsi="Garamond" w:cs="Garamond"/>
                <w:b/>
                <w:bCs/>
                <w:sz w:val="72"/>
                <w:szCs w:val="72"/>
              </w:rPr>
            </w:pPr>
            <w:r>
              <w:rPr>
                <w:rFonts w:ascii="Garamond" w:eastAsia="Garamond" w:hAnsi="Garamond" w:cs="Garamond"/>
                <w:b/>
                <w:bCs/>
                <w:sz w:val="72"/>
                <w:szCs w:val="72"/>
              </w:rPr>
              <w:t>Articles of War</w:t>
            </w:r>
          </w:p>
        </w:tc>
      </w:tr>
    </w:tbl>
    <w:p w14:paraId="3DB496D0" w14:textId="77777777" w:rsidR="0022184E" w:rsidRDefault="0022184E" w:rsidP="0022184E"/>
    <w:p w14:paraId="540A7876" w14:textId="77777777" w:rsidR="0022184E" w:rsidRDefault="0022184E" w:rsidP="0022184E">
      <w:pPr>
        <w:jc w:val="center"/>
      </w:pPr>
    </w:p>
    <w:p w14:paraId="30BC2AF9" w14:textId="77777777" w:rsidR="0022184E" w:rsidRDefault="0022184E" w:rsidP="0022184E">
      <w:pPr>
        <w:jc w:val="center"/>
      </w:pPr>
    </w:p>
    <w:p w14:paraId="61F25208" w14:textId="3DC95FB5" w:rsidR="004200B0" w:rsidRDefault="00000000" w:rsidP="0022184E">
      <w:pPr>
        <w:jc w:val="center"/>
      </w:pPr>
      <w:r>
        <w:t xml:space="preserve">This document, last compiled by </w:t>
      </w:r>
      <w:proofErr w:type="spellStart"/>
      <w:r>
        <w:rPr>
          <w:b/>
          <w:bCs/>
        </w:rPr>
        <w:t>CreepilyCreep</w:t>
      </w:r>
      <w:proofErr w:type="spellEnd"/>
      <w:r>
        <w:t xml:space="preserve">, </w:t>
      </w:r>
    </w:p>
    <w:p w14:paraId="2841F192" w14:textId="77777777" w:rsidR="004200B0" w:rsidRDefault="00000000" w:rsidP="0022184E">
      <w:pPr>
        <w:jc w:val="center"/>
      </w:pPr>
      <w:r>
        <w:t xml:space="preserve">includes all legislation enacted and amended </w:t>
      </w:r>
    </w:p>
    <w:p w14:paraId="04DD40C4" w14:textId="77777777" w:rsidR="004200B0" w:rsidRDefault="00000000" w:rsidP="0022184E">
      <w:pPr>
        <w:jc w:val="center"/>
      </w:pPr>
      <w:r>
        <w:t xml:space="preserve">up to and including the </w:t>
      </w:r>
      <w:r>
        <w:rPr>
          <w:b/>
          <w:bCs/>
        </w:rPr>
        <w:t>Gravel Rats Act</w:t>
      </w:r>
      <w:r>
        <w:t xml:space="preserve"> </w:t>
      </w:r>
    </w:p>
    <w:p w14:paraId="370A40B2" w14:textId="77777777" w:rsidR="004200B0" w:rsidRDefault="00000000" w:rsidP="0022184E">
      <w:pPr>
        <w:jc w:val="center"/>
      </w:pPr>
      <w:r>
        <w:t xml:space="preserve">passed on </w:t>
      </w:r>
      <w:r>
        <w:rPr>
          <w:b/>
          <w:bCs/>
        </w:rPr>
        <w:t>25th December 2025</w:t>
      </w:r>
      <w:r>
        <w:t>.</w:t>
      </w:r>
      <w:r>
        <w:br w:type="page"/>
      </w:r>
    </w:p>
    <w:p w14:paraId="1F60CDEC" w14:textId="77777777" w:rsidR="004200B0" w:rsidRDefault="00000000">
      <w:pPr>
        <w:spacing w:after="200"/>
        <w:jc w:val="center"/>
        <w:rPr>
          <w:b/>
          <w:bCs/>
          <w:sz w:val="40"/>
          <w:szCs w:val="40"/>
        </w:rPr>
      </w:pPr>
      <w:r>
        <w:rPr>
          <w:b/>
          <w:bCs/>
          <w:sz w:val="40"/>
          <w:szCs w:val="40"/>
        </w:rPr>
        <w:lastRenderedPageBreak/>
        <w:t>Articles of War</w:t>
      </w:r>
    </w:p>
    <w:p w14:paraId="5FC8A7BB" w14:textId="77777777" w:rsidR="004200B0" w:rsidRDefault="00000000">
      <w:pPr>
        <w:pStyle w:val="Heading2"/>
        <w:keepNext w:val="0"/>
        <w:keepLines w:val="0"/>
        <w:spacing w:after="200" w:line="331" w:lineRule="auto"/>
      </w:pPr>
      <w:bookmarkStart w:id="0" w:name="_heading=h.r5pglgd7pfba" w:colFirst="0" w:colLast="0"/>
      <w:bookmarkEnd w:id="0"/>
      <w:r>
        <w:t>Article 0</w:t>
      </w:r>
    </w:p>
    <w:p w14:paraId="2FD79856" w14:textId="77777777" w:rsidR="004200B0" w:rsidRDefault="00000000">
      <w:pPr>
        <w:spacing w:after="200"/>
      </w:pPr>
      <w:r>
        <w:t>These Articles of War shall be considered on-par with the Constitution and thus shall be bound to the same Amendment process defined in Article IX of the Constitution.</w:t>
      </w:r>
    </w:p>
    <w:p w14:paraId="7CFBE831" w14:textId="77777777" w:rsidR="004200B0" w:rsidRDefault="00000000">
      <w:pPr>
        <w:pStyle w:val="Heading2"/>
        <w:keepNext w:val="0"/>
        <w:keepLines w:val="0"/>
        <w:spacing w:after="200" w:line="331" w:lineRule="auto"/>
      </w:pPr>
      <w:bookmarkStart w:id="1" w:name="_heading=h.jr1jhes0eoqj" w:colFirst="0" w:colLast="0"/>
      <w:bookmarkEnd w:id="1"/>
      <w:r>
        <w:t>Article 1</w:t>
      </w:r>
    </w:p>
    <w:p w14:paraId="67078E8B" w14:textId="77777777" w:rsidR="004200B0" w:rsidRDefault="00000000">
      <w:pPr>
        <w:numPr>
          <w:ilvl w:val="0"/>
          <w:numId w:val="1"/>
        </w:numPr>
        <w:spacing w:after="200"/>
      </w:pPr>
      <w:r>
        <w:t xml:space="preserve">The Military shall distinguish between three </w:t>
      </w:r>
      <w:proofErr w:type="gramStart"/>
      <w:r>
        <w:t>separate</w:t>
      </w:r>
      <w:proofErr w:type="gramEnd"/>
      <w:r>
        <w:t xml:space="preserve"> but not </w:t>
      </w:r>
      <w:proofErr w:type="gramStart"/>
      <w:r>
        <w:t>mutually-exclusive</w:t>
      </w:r>
      <w:proofErr w:type="gramEnd"/>
      <w:r>
        <w:t xml:space="preserve"> duties: </w:t>
      </w:r>
    </w:p>
    <w:p w14:paraId="27F45652" w14:textId="77777777" w:rsidR="004200B0" w:rsidRDefault="00000000">
      <w:pPr>
        <w:numPr>
          <w:ilvl w:val="1"/>
          <w:numId w:val="1"/>
        </w:numPr>
        <w:spacing w:after="200"/>
      </w:pPr>
      <w:r>
        <w:t xml:space="preserve">The Army, being responsible for protecting </w:t>
      </w:r>
      <w:proofErr w:type="spellStart"/>
      <w:r>
        <w:t>Icenia's</w:t>
      </w:r>
      <w:proofErr w:type="spellEnd"/>
      <w:r>
        <w:t xml:space="preserve"> safety and </w:t>
      </w:r>
      <w:proofErr w:type="gramStart"/>
      <w:r>
        <w:t>sovereignty;</w:t>
      </w:r>
      <w:proofErr w:type="gramEnd"/>
    </w:p>
    <w:p w14:paraId="63A049E0" w14:textId="77777777" w:rsidR="004200B0" w:rsidRDefault="00000000">
      <w:pPr>
        <w:numPr>
          <w:ilvl w:val="1"/>
          <w:numId w:val="1"/>
        </w:numPr>
        <w:spacing w:after="200"/>
      </w:pPr>
      <w:r>
        <w:t>The Militia, being responsible for domestic law enforcement; and</w:t>
      </w:r>
    </w:p>
    <w:p w14:paraId="173EF829" w14:textId="77777777" w:rsidR="004200B0" w:rsidRDefault="00000000">
      <w:pPr>
        <w:numPr>
          <w:ilvl w:val="1"/>
          <w:numId w:val="1"/>
        </w:numPr>
        <w:spacing w:after="200"/>
      </w:pPr>
      <w:r>
        <w:t>The Logistics Corps (colloquially known as the "Gravel Rats"), being responsible for the production, transportation, and preparation of military materials and defensive infrastructure.</w:t>
      </w:r>
    </w:p>
    <w:p w14:paraId="65C2F1F1" w14:textId="77777777" w:rsidR="004200B0" w:rsidRDefault="00000000">
      <w:pPr>
        <w:numPr>
          <w:ilvl w:val="0"/>
          <w:numId w:val="1"/>
        </w:numPr>
        <w:spacing w:after="200"/>
      </w:pPr>
      <w:r>
        <w:t>The Secretary of Defense is expected to maintain two Lieutenants - who are nominated by the Secretary and approved by the President - to be the Secretary's second-in-command, and to assist the Secretary as required. The Secretary of Defense may also appoint a Quartermaster to oversee the Logistics Corps.</w:t>
      </w:r>
    </w:p>
    <w:p w14:paraId="02C89B79" w14:textId="77777777" w:rsidR="004200B0" w:rsidRDefault="00000000">
      <w:pPr>
        <w:numPr>
          <w:ilvl w:val="0"/>
          <w:numId w:val="1"/>
        </w:numPr>
        <w:spacing w:after="200"/>
      </w:pPr>
      <w:r>
        <w:t xml:space="preserve">The Secretary of Defense is empowered to consider friendly and allied fighters that can be called upon in times of need, as part of the Army. Whereas Militia personnel must have and maintain </w:t>
      </w:r>
      <w:proofErr w:type="spellStart"/>
      <w:r>
        <w:t>Icenian</w:t>
      </w:r>
      <w:proofErr w:type="spellEnd"/>
      <w:r>
        <w:t xml:space="preserve"> citizenship.</w:t>
      </w:r>
    </w:p>
    <w:p w14:paraId="65011A2A" w14:textId="77777777" w:rsidR="004200B0" w:rsidRDefault="00000000">
      <w:pPr>
        <w:numPr>
          <w:ilvl w:val="0"/>
          <w:numId w:val="1"/>
        </w:numPr>
        <w:spacing w:after="200"/>
      </w:pPr>
      <w:r>
        <w:t xml:space="preserve">Membership within the Logistics Corps does not grant automatic access to </w:t>
      </w:r>
      <w:proofErr w:type="spellStart"/>
      <w:r>
        <w:t>Icenia’s</w:t>
      </w:r>
      <w:proofErr w:type="spellEnd"/>
      <w:r>
        <w:t xml:space="preserve"> classified intelligence or restricted military </w:t>
      </w:r>
      <w:proofErr w:type="spellStart"/>
      <w:proofErr w:type="gramStart"/>
      <w:r>
        <w:t>namelayers</w:t>
      </w:r>
      <w:proofErr w:type="spellEnd"/>
      <w:proofErr w:type="gramEnd"/>
      <w:r>
        <w:t>. Access levels for the Logistics Corps are determined solely by the Secretary of Defense.</w:t>
      </w:r>
    </w:p>
    <w:p w14:paraId="7655B9B7" w14:textId="77777777" w:rsidR="004200B0" w:rsidRDefault="00000000">
      <w:pPr>
        <w:pStyle w:val="Heading2"/>
        <w:keepNext w:val="0"/>
        <w:keepLines w:val="0"/>
        <w:spacing w:after="200" w:line="331" w:lineRule="auto"/>
      </w:pPr>
      <w:bookmarkStart w:id="2" w:name="_heading=h.g1wxl6cadkhd" w:colFirst="0" w:colLast="0"/>
      <w:bookmarkEnd w:id="2"/>
      <w:r>
        <w:t>Article 2</w:t>
      </w:r>
    </w:p>
    <w:p w14:paraId="51C28702" w14:textId="77777777" w:rsidR="004200B0" w:rsidRDefault="00000000">
      <w:pPr>
        <w:spacing w:after="200"/>
      </w:pPr>
      <w:r>
        <w:t xml:space="preserve">The Senate may </w:t>
      </w:r>
      <w:proofErr w:type="spellStart"/>
      <w:r>
        <w:t>recognise</w:t>
      </w:r>
      <w:proofErr w:type="spellEnd"/>
      <w:r>
        <w:t xml:space="preserve"> a State of War via a Senate </w:t>
      </w:r>
      <w:proofErr w:type="gramStart"/>
      <w:r>
        <w:t>Motion, and</w:t>
      </w:r>
      <w:proofErr w:type="gramEnd"/>
      <w:r>
        <w:t xml:space="preserve"> </w:t>
      </w:r>
      <w:proofErr w:type="spellStart"/>
      <w:r>
        <w:t>recognise</w:t>
      </w:r>
      <w:proofErr w:type="spellEnd"/>
      <w:r>
        <w:t xml:space="preserve"> its conclusion via the same. The Secretary of Defense may, in times of imminent catastrophe, declare a State of War to the Senate. States of War should be regularly reconsidered by the </w:t>
      </w:r>
      <w:proofErr w:type="gramStart"/>
      <w:r>
        <w:t>Senate, and</w:t>
      </w:r>
      <w:proofErr w:type="gramEnd"/>
      <w:r>
        <w:t xml:space="preserve"> concluded at the earliest opportunity.</w:t>
      </w:r>
    </w:p>
    <w:p w14:paraId="2EC2365D" w14:textId="77777777" w:rsidR="004200B0" w:rsidRDefault="00000000">
      <w:pPr>
        <w:pStyle w:val="Heading2"/>
        <w:keepNext w:val="0"/>
        <w:keepLines w:val="0"/>
        <w:spacing w:after="200" w:line="331" w:lineRule="auto"/>
      </w:pPr>
      <w:bookmarkStart w:id="3" w:name="_heading=h.oighik511jou" w:colFirst="0" w:colLast="0"/>
      <w:bookmarkEnd w:id="3"/>
      <w:r>
        <w:t>Article 3</w:t>
      </w:r>
    </w:p>
    <w:p w14:paraId="6BAC5112" w14:textId="77777777" w:rsidR="004200B0" w:rsidRDefault="00000000">
      <w:pPr>
        <w:numPr>
          <w:ilvl w:val="0"/>
          <w:numId w:val="1"/>
        </w:numPr>
        <w:spacing w:after="200"/>
      </w:pPr>
      <w:r>
        <w:t>The Secretary of Defense, with oversight from the President and Speaker of the Senate, may designate captured persons as Prisoners of War, exempting them from trial and may be kept until the end of the war or conflict.</w:t>
      </w:r>
    </w:p>
    <w:p w14:paraId="4CAEFDB9" w14:textId="77777777" w:rsidR="004200B0" w:rsidRDefault="00000000">
      <w:pPr>
        <w:numPr>
          <w:ilvl w:val="0"/>
          <w:numId w:val="1"/>
        </w:numPr>
        <w:spacing w:after="200"/>
      </w:pPr>
      <w:r>
        <w:lastRenderedPageBreak/>
        <w:t>Prisoners of War are to be sentenced or released via Military Tribunal consisting of the President, Secretary of Defense, and Speaker of the Senate.</w:t>
      </w:r>
    </w:p>
    <w:p w14:paraId="7048887B" w14:textId="77777777" w:rsidR="004200B0" w:rsidRDefault="00000000">
      <w:pPr>
        <w:pStyle w:val="Heading2"/>
        <w:keepNext w:val="0"/>
        <w:keepLines w:val="0"/>
        <w:spacing w:after="200" w:line="331" w:lineRule="auto"/>
      </w:pPr>
      <w:bookmarkStart w:id="4" w:name="_heading=h.kk83t11zbp74" w:colFirst="0" w:colLast="0"/>
      <w:bookmarkEnd w:id="4"/>
      <w:r>
        <w:t>Article 4</w:t>
      </w:r>
    </w:p>
    <w:p w14:paraId="29A8D491" w14:textId="77777777" w:rsidR="004200B0" w:rsidRDefault="00000000">
      <w:pPr>
        <w:spacing w:after="200"/>
      </w:pPr>
      <w:r>
        <w:t xml:space="preserve">During </w:t>
      </w:r>
      <w:proofErr w:type="gramStart"/>
      <w:r>
        <w:t>a State</w:t>
      </w:r>
      <w:proofErr w:type="gramEnd"/>
      <w:r>
        <w:t xml:space="preserve"> of War, pearls held on behalf of friendly and allied nations shall be exempt from the usual requirement of Article V (d) of the Constitution to be subjected to a trial.</w:t>
      </w:r>
    </w:p>
    <w:p w14:paraId="4CEF7825" w14:textId="77777777" w:rsidR="004200B0" w:rsidRDefault="00000000">
      <w:pPr>
        <w:pStyle w:val="Heading2"/>
        <w:keepNext w:val="0"/>
        <w:keepLines w:val="0"/>
        <w:spacing w:after="200" w:line="331" w:lineRule="auto"/>
      </w:pPr>
      <w:bookmarkStart w:id="5" w:name="_heading=h.e1eui4zfmcr6" w:colFirst="0" w:colLast="0"/>
      <w:bookmarkEnd w:id="5"/>
      <w:r>
        <w:t>Article 5</w:t>
      </w:r>
    </w:p>
    <w:p w14:paraId="19E1097F" w14:textId="77777777" w:rsidR="004200B0" w:rsidRDefault="00000000">
      <w:pPr>
        <w:spacing w:after="200"/>
      </w:pPr>
      <w:r>
        <w:t xml:space="preserve">During a State of War, the Secretary of </w:t>
      </w:r>
      <w:proofErr w:type="spellStart"/>
      <w:r>
        <w:t>Defence</w:t>
      </w:r>
      <w:proofErr w:type="spellEnd"/>
      <w:r>
        <w:t xml:space="preserve"> may temporarily annex territory not already claimed by </w:t>
      </w:r>
      <w:proofErr w:type="spellStart"/>
      <w:r>
        <w:t>Icenia</w:t>
      </w:r>
      <w:proofErr w:type="spellEnd"/>
      <w:r>
        <w:t>, by making an announcement of annexation to the Senate. Such territory is considered no longer annexed after the conclusion of the State of War unless the Senate amends the Statute of Territory to formally claim it.</w:t>
      </w:r>
    </w:p>
    <w:p w14:paraId="69360FBF" w14:textId="77777777" w:rsidR="004200B0" w:rsidRDefault="00000000">
      <w:pPr>
        <w:pStyle w:val="Heading2"/>
        <w:keepNext w:val="0"/>
        <w:keepLines w:val="0"/>
        <w:spacing w:after="200" w:line="331" w:lineRule="auto"/>
      </w:pPr>
      <w:bookmarkStart w:id="6" w:name="_heading=h.tpcfwz4zkgjs" w:colFirst="0" w:colLast="0"/>
      <w:bookmarkEnd w:id="6"/>
      <w:r>
        <w:t>Article 6</w:t>
      </w:r>
    </w:p>
    <w:p w14:paraId="5A06FE95" w14:textId="77777777" w:rsidR="004200B0" w:rsidRDefault="00000000">
      <w:pPr>
        <w:spacing w:after="200"/>
      </w:pPr>
      <w:r>
        <w:t xml:space="preserve">During </w:t>
      </w:r>
      <w:proofErr w:type="gramStart"/>
      <w:r>
        <w:t>a State</w:t>
      </w:r>
      <w:proofErr w:type="gramEnd"/>
      <w:r>
        <w:t xml:space="preserve"> of War, </w:t>
      </w:r>
      <w:proofErr w:type="spellStart"/>
      <w:r>
        <w:t>Icenians</w:t>
      </w:r>
      <w:proofErr w:type="spellEnd"/>
      <w:r>
        <w:t xml:space="preserve"> shall be immune from Article 6 of the Safe </w:t>
      </w:r>
      <w:proofErr w:type="spellStart"/>
      <w:r>
        <w:t>Icenia</w:t>
      </w:r>
      <w:proofErr w:type="spellEnd"/>
      <w:r>
        <w:t xml:space="preserve"> Act for engaging in bounty hunting against the enemies of </w:t>
      </w:r>
      <w:proofErr w:type="spellStart"/>
      <w:r>
        <w:t>Icenia</w:t>
      </w:r>
      <w:proofErr w:type="spellEnd"/>
      <w:r>
        <w:t>.</w:t>
      </w:r>
    </w:p>
    <w:p w14:paraId="59617F0E" w14:textId="77777777" w:rsidR="004200B0" w:rsidRDefault="00000000">
      <w:pPr>
        <w:pStyle w:val="Heading2"/>
        <w:keepNext w:val="0"/>
        <w:keepLines w:val="0"/>
        <w:spacing w:after="200" w:line="331" w:lineRule="auto"/>
      </w:pPr>
      <w:bookmarkStart w:id="7" w:name="_heading=h.1eda1g2x6g4d" w:colFirst="0" w:colLast="0"/>
      <w:bookmarkEnd w:id="7"/>
      <w:r>
        <w:t>Article 7</w:t>
      </w:r>
    </w:p>
    <w:p w14:paraId="0C542FA1" w14:textId="77777777" w:rsidR="004200B0" w:rsidRDefault="00000000">
      <w:pPr>
        <w:spacing w:after="200"/>
      </w:pPr>
      <w:r>
        <w:t xml:space="preserve">During </w:t>
      </w:r>
      <w:proofErr w:type="gramStart"/>
      <w:r>
        <w:t>a State</w:t>
      </w:r>
      <w:proofErr w:type="gramEnd"/>
      <w:r>
        <w:t xml:space="preserve"> of War, the Secretary of the Interior may publicly announce a pause to some or all subsidies, delaying their payouts until after the conclusion of the State of War, upon which </w:t>
      </w:r>
      <w:proofErr w:type="gramStart"/>
      <w:r>
        <w:t>any and all</w:t>
      </w:r>
      <w:proofErr w:type="gramEnd"/>
      <w:r>
        <w:t xml:space="preserve"> such pauses shall end.</w:t>
      </w:r>
    </w:p>
    <w:p w14:paraId="14B3EA6A" w14:textId="77777777" w:rsidR="004200B0" w:rsidRDefault="00000000">
      <w:pPr>
        <w:pStyle w:val="Heading2"/>
        <w:keepNext w:val="0"/>
        <w:keepLines w:val="0"/>
        <w:spacing w:after="200" w:line="331" w:lineRule="auto"/>
      </w:pPr>
      <w:bookmarkStart w:id="8" w:name="_heading=h.smawttlltaus" w:colFirst="0" w:colLast="0"/>
      <w:bookmarkEnd w:id="8"/>
      <w:r>
        <w:t>Article 8</w:t>
      </w:r>
    </w:p>
    <w:p w14:paraId="55349D74" w14:textId="77777777" w:rsidR="004200B0" w:rsidRDefault="00000000">
      <w:pPr>
        <w:spacing w:after="200"/>
        <w:rPr>
          <w:rFonts w:ascii="Garamond" w:eastAsia="Garamond" w:hAnsi="Garamond" w:cs="Garamond"/>
          <w:b/>
          <w:bCs/>
          <w:sz w:val="40"/>
          <w:szCs w:val="40"/>
        </w:rPr>
      </w:pPr>
      <w:r>
        <w:t xml:space="preserve">During a State of War, the Chief Magistrate may permit a pause to any contract should there be sufficient cause for concern that it may impede the war effort. All contracting parties must be informed of such a pause and its justification. </w:t>
      </w:r>
      <w:proofErr w:type="gramStart"/>
      <w:r>
        <w:t>Any and all</w:t>
      </w:r>
      <w:proofErr w:type="gramEnd"/>
      <w:r>
        <w:t xml:space="preserve"> such pauses shall end automatically with the conclusion of the State of War, though contracting parties must allow reasonable time before reimposing contract obligations, subject to the '</w:t>
      </w:r>
      <w:proofErr w:type="gramStart"/>
      <w:r>
        <w:t>reasonableness</w:t>
      </w:r>
      <w:proofErr w:type="gramEnd"/>
      <w:r>
        <w:t>' benchmark of Section 1 of the Contract Law Act.</w:t>
      </w:r>
    </w:p>
    <w:sectPr w:rsidR="004200B0">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40E06" w14:textId="77777777" w:rsidR="002063C7" w:rsidRDefault="002063C7">
      <w:pPr>
        <w:spacing w:line="240" w:lineRule="auto"/>
      </w:pPr>
      <w:r>
        <w:separator/>
      </w:r>
    </w:p>
  </w:endnote>
  <w:endnote w:type="continuationSeparator" w:id="0">
    <w:p w14:paraId="28EC0C21" w14:textId="77777777" w:rsidR="002063C7" w:rsidRDefault="002063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FF23C6D1-C150-4DEA-BEC2-A42169299C27}"/>
    <w:embedBoldItalic r:id="rId2" w:fontKey="{EE25CA6C-6104-4F14-A2A4-9E31C60BA3B2}"/>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3" w:fontKey="{9AD6F63D-F32B-48F5-A343-74D4CAC6E96D}"/>
  </w:font>
  <w:font w:name="Cambria">
    <w:panose1 w:val="02040503050406030204"/>
    <w:charset w:val="00"/>
    <w:family w:val="roman"/>
    <w:pitch w:val="variable"/>
    <w:sig w:usb0="E00006FF" w:usb1="420024FF" w:usb2="02000000" w:usb3="00000000" w:csb0="0000019F" w:csb1="00000000"/>
    <w:embedRegular r:id="rId4" w:fontKey="{68A76470-DC6E-49D4-8DD8-E9F72FBEB5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58CE1" w14:textId="77777777" w:rsidR="004200B0" w:rsidRDefault="004200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9A4ED" w14:textId="77777777" w:rsidR="002063C7" w:rsidRDefault="002063C7">
      <w:pPr>
        <w:spacing w:line="240" w:lineRule="auto"/>
      </w:pPr>
      <w:r>
        <w:separator/>
      </w:r>
    </w:p>
  </w:footnote>
  <w:footnote w:type="continuationSeparator" w:id="0">
    <w:p w14:paraId="1852178F" w14:textId="77777777" w:rsidR="002063C7" w:rsidRDefault="002063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C5C3D" w14:textId="77777777" w:rsidR="004200B0" w:rsidRDefault="00000000">
    <w:r>
      <w:t xml:space="preserve">This document, last compiled by </w:t>
    </w:r>
    <w:r>
      <w:rPr>
        <w:b/>
        <w:bCs/>
      </w:rPr>
      <w:t>CreepilyCreep</w:t>
    </w:r>
    <w:r>
      <w:t xml:space="preserve">, includes all legislation enacted and amended up to and including the </w:t>
    </w:r>
    <w:r>
      <w:rPr>
        <w:b/>
        <w:bCs/>
      </w:rPr>
      <w:t>Archival Standards Act</w:t>
    </w:r>
    <w:r>
      <w:t xml:space="preserve"> passed on </w:t>
    </w:r>
    <w:r>
      <w:rPr>
        <w:b/>
        <w:bCs/>
      </w:rPr>
      <w:t>3rd January 2026</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77A8"/>
    <w:multiLevelType w:val="multilevel"/>
    <w:tmpl w:val="6420A9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72303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0B0"/>
    <w:rsid w:val="002063C7"/>
    <w:rsid w:val="0022184E"/>
    <w:rsid w:val="00352693"/>
    <w:rsid w:val="004200B0"/>
    <w:rsid w:val="007A3620"/>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D271A"/>
  <w15:docId w15:val="{98CBD016-8A4F-477C-8CAD-E2C7D14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OCe3GlR08lTqJvb1zYx7WbCPLg==">CgMxLjAyDmgucjVwZ2xnZDdwZmJhMg5oLmpyMWpoZXMwZW9xajIOaC5nMXd4bDZjYWRraGQyDmgub2lnaGlrNTExam91Mg5oLmtrODN0MTF6YnA3NDIOaC5lMWV1aTR6Zm1jcjYyDmgudHBjZnd6NHprZ2pzMg5oLjFlZGExZzJ4Nmc0ZDIOaC5zbWF3dHRsbHRhdXM4AHIhMWh4NHVaSUVHOC1IeDRqWi1idDVmUjMzamtDdkk4bTRt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LEUNG Hei Tzit Samuel</cp:lastModifiedBy>
  <cp:revision>3</cp:revision>
  <dcterms:created xsi:type="dcterms:W3CDTF">2026-01-05T14:02:00Z</dcterms:created>
  <dcterms:modified xsi:type="dcterms:W3CDTF">2026-01-12T15:15:00Z</dcterms:modified>
</cp:coreProperties>
</file>