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2">
      <w:pPr>
        <w:spacing w:line="240" w:lineRule="auto"/>
        <w:jc w:val="center"/>
        <w:rPr>
          <w:rFonts w:ascii="Garamond" w:cs="Garamond" w:eastAsia="Garamond" w:hAnsi="Garamond"/>
          <w:b w:val="1"/>
          <w:bCs w:val="1"/>
          <w:i w:val="1"/>
          <w:iCs w:val="1"/>
          <w:strike w:val="1"/>
          <w:sz w:val="40"/>
          <w:szCs w:val="40"/>
        </w:rPr>
      </w:pPr>
      <w:r w:rsidDel="00000000" w:rsidR="00000000" w:rsidRPr="00000000">
        <w:rPr>
          <w:rFonts w:ascii="Garamond" w:cs="Garamond" w:eastAsia="Garamond" w:hAnsi="Garamond"/>
          <w:b w:val="1"/>
          <w:bCs w:val="1"/>
          <w:i w:val="1"/>
          <w:iCs w:val="1"/>
          <w:strike w:val="1"/>
          <w:sz w:val="40"/>
          <w:szCs w:val="40"/>
        </w:rPr>
        <w:drawing>
          <wp:inline distB="0" distT="0" distL="0" distR="0">
            <wp:extent cx="3339938" cy="3522590"/>
            <wp:effectExtent b="0" l="0" r="0" t="0"/>
            <wp:docPr id="1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39938" cy="352259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240" w:lineRule="auto"/>
        <w:jc w:val="center"/>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4">
      <w:pPr>
        <w:spacing w:line="240" w:lineRule="auto"/>
        <w:jc w:val="center"/>
        <w:rPr>
          <w:rFonts w:ascii="Garamond" w:cs="Garamond" w:eastAsia="Garamond" w:hAnsi="Garamond"/>
          <w:b w:val="1"/>
          <w:bCs w:val="1"/>
          <w:i w:val="1"/>
          <w:iCs w:val="1"/>
          <w:sz w:val="40"/>
          <w:szCs w:val="40"/>
        </w:rPr>
      </w:pPr>
      <w:r w:rsidDel="00000000" w:rsidR="00000000" w:rsidRPr="00000000">
        <w:rPr>
          <w:rFonts w:ascii="Garamond" w:cs="Garamond" w:eastAsia="Garamond" w:hAnsi="Garamond"/>
          <w:b w:val="1"/>
          <w:bCs w:val="1"/>
          <w:i w:val="1"/>
          <w:iCs w:val="1"/>
          <w:sz w:val="40"/>
          <w:szCs w:val="40"/>
          <w:rtl w:val="0"/>
        </w:rPr>
        <w:t xml:space="preserve">THE REPUBLIC OF ICENIA</w:t>
      </w:r>
    </w:p>
    <w:p w:rsidR="00000000" w:rsidDel="00000000" w:rsidP="00000000" w:rsidRDefault="00000000" w:rsidRPr="00000000" w14:paraId="00000005">
      <w:pPr>
        <w:spacing w:line="240" w:lineRule="auto"/>
        <w:jc w:val="center"/>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1"/>
        <w:tblW w:w="9029.0" w:type="dxa"/>
        <w:jc w:val="center"/>
        <w:tblBorders>
          <w:top w:color="000000" w:space="0" w:sz="18" w:val="single"/>
          <w:bottom w:color="000000" w:space="0" w:sz="18" w:val="single"/>
        </w:tblBorders>
        <w:tblLayout w:type="fixed"/>
        <w:tblLook w:val="0600"/>
      </w:tblPr>
      <w:tblGrid>
        <w:gridCol w:w="9029"/>
        <w:tblGridChange w:id="0">
          <w:tblGrid>
            <w:gridCol w:w="9029"/>
          </w:tblGrid>
        </w:tblGridChange>
      </w:tblGrid>
      <w:tr>
        <w:trPr>
          <w:cantSplit w:val="0"/>
          <w:trHeight w:val="2649" w:hRule="atLeast"/>
          <w:tblHeader w:val="0"/>
        </w:trPr>
        <w:tc>
          <w:tcPr>
            <w:tcBorders>
              <w:top w:color="666666" w:space="0" w:sz="12" w:val="single"/>
              <w:left w:color="ffffff" w:space="0" w:sz="4" w:val="single"/>
              <w:bottom w:color="666666" w:space="0" w:sz="12" w:val="single"/>
              <w:right w:color="fffff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07">
            <w:pPr>
              <w:spacing w:line="240" w:lineRule="auto"/>
              <w:jc w:val="center"/>
              <w:rPr>
                <w:rFonts w:ascii="Garamond" w:cs="Garamond" w:eastAsia="Garamond" w:hAnsi="Garamond"/>
                <w:b w:val="1"/>
                <w:bCs w:val="1"/>
                <w:sz w:val="72"/>
                <w:szCs w:val="72"/>
              </w:rPr>
            </w:pPr>
            <w:r w:rsidDel="00000000" w:rsidR="00000000" w:rsidRPr="00000000">
              <w:rPr>
                <w:rFonts w:ascii="Garamond" w:cs="Garamond" w:eastAsia="Garamond" w:hAnsi="Garamond"/>
                <w:b w:val="1"/>
                <w:bCs w:val="1"/>
                <w:sz w:val="72"/>
                <w:szCs w:val="72"/>
                <w:rtl w:val="0"/>
              </w:rPr>
              <w:t xml:space="preserve">City Treasury </w:t>
            </w:r>
          </w:p>
          <w:p w:rsidR="00000000" w:rsidDel="00000000" w:rsidP="00000000" w:rsidRDefault="00000000" w:rsidRPr="00000000" w14:paraId="00000008">
            <w:pPr>
              <w:spacing w:line="240" w:lineRule="auto"/>
              <w:jc w:val="center"/>
              <w:rPr>
                <w:rFonts w:ascii="Garamond" w:cs="Garamond" w:eastAsia="Garamond" w:hAnsi="Garamond"/>
                <w:b w:val="1"/>
                <w:bCs w:val="1"/>
                <w:sz w:val="72"/>
                <w:szCs w:val="72"/>
              </w:rPr>
            </w:pPr>
            <w:r w:rsidDel="00000000" w:rsidR="00000000" w:rsidRPr="00000000">
              <w:rPr>
                <w:rFonts w:ascii="Garamond" w:cs="Garamond" w:eastAsia="Garamond" w:hAnsi="Garamond"/>
                <w:b w:val="1"/>
                <w:bCs w:val="1"/>
                <w:sz w:val="72"/>
                <w:szCs w:val="72"/>
                <w:rtl w:val="0"/>
              </w:rPr>
              <w:t xml:space="preserve">Bank Account Act</w:t>
            </w:r>
          </w:p>
        </w:tc>
      </w:tr>
    </w:tbl>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t xml:space="preserve">This document, last compiled by </w:t>
      </w:r>
      <w:r w:rsidDel="00000000" w:rsidR="00000000" w:rsidRPr="00000000">
        <w:rPr>
          <w:b w:val="1"/>
          <w:bCs w:val="1"/>
          <w:rtl w:val="0"/>
        </w:rPr>
        <w:t xml:space="preserve">Creepily</w:t>
      </w:r>
      <w:r w:rsidDel="00000000" w:rsidR="00000000" w:rsidRPr="00000000">
        <w:rPr>
          <w:rtl w:val="0"/>
        </w:rPr>
        <w:t xml:space="preserve">, </w:t>
      </w:r>
    </w:p>
    <w:p w:rsidR="00000000" w:rsidDel="00000000" w:rsidP="00000000" w:rsidRDefault="00000000" w:rsidRPr="00000000" w14:paraId="0000000D">
      <w:pPr>
        <w:jc w:val="center"/>
        <w:rPr/>
      </w:pPr>
      <w:r w:rsidDel="00000000" w:rsidR="00000000" w:rsidRPr="00000000">
        <w:rPr>
          <w:rtl w:val="0"/>
        </w:rPr>
        <w:t xml:space="preserve">includes all legislation enacted and amended </w:t>
      </w:r>
    </w:p>
    <w:p w:rsidR="00000000" w:rsidDel="00000000" w:rsidP="00000000" w:rsidRDefault="00000000" w:rsidRPr="00000000" w14:paraId="0000000E">
      <w:pPr>
        <w:jc w:val="center"/>
        <w:rPr/>
      </w:pPr>
      <w:r w:rsidDel="00000000" w:rsidR="00000000" w:rsidRPr="00000000">
        <w:rPr>
          <w:rtl w:val="0"/>
        </w:rPr>
        <w:t xml:space="preserve">up to and including the </w:t>
      </w:r>
      <w:r w:rsidDel="00000000" w:rsidR="00000000" w:rsidRPr="00000000">
        <w:rPr>
          <w:b w:val="1"/>
          <w:bCs w:val="1"/>
          <w:rtl w:val="0"/>
        </w:rPr>
        <w:t xml:space="preserve">City Treasury Bank Account Act</w:t>
      </w:r>
      <w:r w:rsidDel="00000000" w:rsidR="00000000" w:rsidRPr="00000000">
        <w:rPr>
          <w:rtl w:val="0"/>
        </w:rPr>
        <w:t xml:space="preserve"> </w:t>
      </w:r>
    </w:p>
    <w:p w:rsidR="00000000" w:rsidDel="00000000" w:rsidP="00000000" w:rsidRDefault="00000000" w:rsidRPr="00000000" w14:paraId="0000000F">
      <w:pPr>
        <w:jc w:val="center"/>
        <w:rPr/>
      </w:pPr>
      <w:r w:rsidDel="00000000" w:rsidR="00000000" w:rsidRPr="00000000">
        <w:rPr>
          <w:rtl w:val="0"/>
        </w:rPr>
        <w:t xml:space="preserve">passed on </w:t>
      </w:r>
      <w:r w:rsidDel="00000000" w:rsidR="00000000" w:rsidRPr="00000000">
        <w:rPr>
          <w:b w:val="1"/>
          <w:bCs w:val="1"/>
          <w:rtl w:val="0"/>
        </w:rPr>
        <w:t xml:space="preserve">7th November 2025</w:t>
      </w:r>
      <w:r w:rsidDel="00000000" w:rsidR="00000000" w:rsidRPr="00000000">
        <w:rPr>
          <w:rtl w:val="0"/>
        </w:rPr>
        <w:t xml:space="preserve">.</w:t>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rPr>
          <w:b w:val="1"/>
          <w:bCs w:val="1"/>
          <w:sz w:val="26"/>
          <w:szCs w:val="26"/>
        </w:rPr>
      </w:pPr>
      <w:r w:rsidDel="00000000" w:rsidR="00000000" w:rsidRPr="00000000">
        <w:rPr>
          <w:b w:val="1"/>
          <w:bCs w:val="1"/>
          <w:sz w:val="46"/>
          <w:szCs w:val="46"/>
          <w:rtl w:val="0"/>
        </w:rPr>
        <w:t xml:space="preserve">Establishment and Regulation of the City Treasury Account</w:t>
      </w:r>
      <w:r w:rsidDel="00000000" w:rsidR="00000000" w:rsidRPr="00000000">
        <w:rPr>
          <w:rtl w:val="0"/>
        </w:rPr>
      </w:r>
    </w:p>
    <w:p w:rsidR="00000000" w:rsidDel="00000000" w:rsidP="00000000" w:rsidRDefault="00000000" w:rsidRPr="00000000" w14:paraId="00000012">
      <w:pPr>
        <w:pStyle w:val="Heading2"/>
        <w:spacing w:after="0" w:before="200" w:lineRule="auto"/>
        <w:rPr>
          <w:u w:val="single"/>
        </w:rPr>
      </w:pPr>
      <w:bookmarkStart w:colFirst="0" w:colLast="0" w:name="_heading=h.a7ukxtakituz" w:id="0"/>
      <w:bookmarkEnd w:id="0"/>
      <w:r w:rsidDel="00000000" w:rsidR="00000000" w:rsidRPr="00000000">
        <w:rPr>
          <w:u w:val="single"/>
          <w:rtl w:val="0"/>
        </w:rPr>
        <w:t xml:space="preserve">Section 1. Establishment of Treasury Account</w:t>
      </w:r>
    </w:p>
    <w:p w:rsidR="00000000" w:rsidDel="00000000" w:rsidP="00000000" w:rsidRDefault="00000000" w:rsidRPr="00000000" w14:paraId="00000013">
      <w:pPr>
        <w:numPr>
          <w:ilvl w:val="0"/>
          <w:numId w:val="4"/>
        </w:numPr>
        <w:spacing w:after="200" w:before="200" w:lineRule="auto"/>
        <w:ind w:left="720" w:hanging="360"/>
        <w:rPr>
          <w:u w:val="none"/>
        </w:rPr>
      </w:pPr>
      <w:r w:rsidDel="00000000" w:rsidR="00000000" w:rsidRPr="00000000">
        <w:rPr>
          <w:rtl w:val="0"/>
        </w:rPr>
        <w:t xml:space="preserve">A municipal bank account shall be established at Monument Bank for the purpose of holding the City Treasury, in whole or in part.</w:t>
      </w:r>
    </w:p>
    <w:p w:rsidR="00000000" w:rsidDel="00000000" w:rsidP="00000000" w:rsidRDefault="00000000" w:rsidRPr="00000000" w14:paraId="00000014">
      <w:pPr>
        <w:numPr>
          <w:ilvl w:val="0"/>
          <w:numId w:val="4"/>
        </w:numPr>
        <w:spacing w:after="200" w:before="0" w:lineRule="auto"/>
        <w:ind w:left="720" w:hanging="360"/>
        <w:rPr>
          <w:u w:val="none"/>
        </w:rPr>
      </w:pPr>
      <w:r w:rsidDel="00000000" w:rsidR="00000000" w:rsidRPr="00000000">
        <w:rPr>
          <w:rtl w:val="0"/>
        </w:rPr>
        <w:t xml:space="preserve">The account shall be titled “Icenia City Treasury Account” and shall be designated as a public fund account under municipal law.</w:t>
      </w:r>
    </w:p>
    <w:p w:rsidR="00000000" w:rsidDel="00000000" w:rsidP="00000000" w:rsidRDefault="00000000" w:rsidRPr="00000000" w14:paraId="00000015">
      <w:pPr>
        <w:numPr>
          <w:ilvl w:val="0"/>
          <w:numId w:val="4"/>
        </w:numPr>
        <w:spacing w:after="200" w:before="200" w:lineRule="auto"/>
        <w:ind w:left="720" w:hanging="360"/>
        <w:rPr>
          <w:u w:val="none"/>
        </w:rPr>
      </w:pPr>
      <w:r w:rsidDel="00000000" w:rsidR="00000000" w:rsidRPr="00000000">
        <w:rPr>
          <w:rtl w:val="0"/>
        </w:rPr>
        <w:t xml:space="preserve">Joint access to the account shall be granted to all sitting Members of the City Council, with equal authority to view balances, initiate transactions, and audit expenditures, subject to the limitations set forth in this Ordinance.</w:t>
      </w:r>
      <w:r w:rsidDel="00000000" w:rsidR="00000000" w:rsidRPr="00000000">
        <w:rPr>
          <w:rtl w:val="0"/>
        </w:rPr>
      </w:r>
    </w:p>
    <w:p w:rsidR="00000000" w:rsidDel="00000000" w:rsidP="00000000" w:rsidRDefault="00000000" w:rsidRPr="00000000" w14:paraId="00000016">
      <w:pPr>
        <w:pStyle w:val="Heading2"/>
        <w:spacing w:after="0" w:before="200" w:lineRule="auto"/>
        <w:rPr>
          <w:u w:val="single"/>
        </w:rPr>
      </w:pPr>
      <w:bookmarkStart w:colFirst="0" w:colLast="0" w:name="_heading=h.y7xj3thtb9mk" w:id="1"/>
      <w:bookmarkEnd w:id="1"/>
      <w:r w:rsidDel="00000000" w:rsidR="00000000" w:rsidRPr="00000000">
        <w:rPr>
          <w:u w:val="single"/>
          <w:rtl w:val="0"/>
        </w:rPr>
        <w:t xml:space="preserve">Section 2. Authorized Use of Funds</w:t>
      </w:r>
    </w:p>
    <w:p w:rsidR="00000000" w:rsidDel="00000000" w:rsidP="00000000" w:rsidRDefault="00000000" w:rsidRPr="00000000" w14:paraId="00000017">
      <w:pPr>
        <w:numPr>
          <w:ilvl w:val="0"/>
          <w:numId w:val="3"/>
        </w:numPr>
        <w:spacing w:after="200" w:before="200" w:lineRule="auto"/>
        <w:ind w:left="720" w:hanging="360"/>
        <w:rPr>
          <w:u w:val="none"/>
        </w:rPr>
      </w:pPr>
      <w:r w:rsidDel="00000000" w:rsidR="00000000" w:rsidRPr="00000000">
        <w:rPr>
          <w:rtl w:val="0"/>
        </w:rPr>
        <w:t xml:space="preserve">Funds held in the City Treasury Account may be expended solely for official city projects, initiatives, and obligations, as approved by a majority vote of the City Council.</w:t>
      </w:r>
    </w:p>
    <w:p w:rsidR="00000000" w:rsidDel="00000000" w:rsidP="00000000" w:rsidRDefault="00000000" w:rsidRPr="00000000" w14:paraId="00000018">
      <w:pPr>
        <w:numPr>
          <w:ilvl w:val="0"/>
          <w:numId w:val="3"/>
        </w:numPr>
        <w:spacing w:after="200" w:before="0" w:lineRule="auto"/>
        <w:ind w:left="720" w:hanging="360"/>
        <w:rPr>
          <w:u w:val="none"/>
        </w:rPr>
      </w:pPr>
      <w:r w:rsidDel="00000000" w:rsidR="00000000" w:rsidRPr="00000000">
        <w:rPr>
          <w:rtl w:val="0"/>
        </w:rPr>
        <w:t xml:space="preserve">No funds shall be used for personal, private, or non-governmental purposes under any circumstances.</w:t>
      </w:r>
    </w:p>
    <w:p w:rsidR="00000000" w:rsidDel="00000000" w:rsidP="00000000" w:rsidRDefault="00000000" w:rsidRPr="00000000" w14:paraId="00000019">
      <w:pPr>
        <w:numPr>
          <w:ilvl w:val="0"/>
          <w:numId w:val="3"/>
        </w:numPr>
        <w:spacing w:after="200" w:before="0" w:lineRule="auto"/>
        <w:ind w:left="720" w:hanging="360"/>
        <w:rPr>
          <w:u w:val="none"/>
        </w:rPr>
      </w:pPr>
      <w:r w:rsidDel="00000000" w:rsidR="00000000" w:rsidRPr="00000000">
        <w:rPr>
          <w:rtl w:val="0"/>
        </w:rPr>
        <w:t xml:space="preserve">All expenditures shall be documented and published in the City’s public ledger within seven (7) days of disbursement, including:</w:t>
      </w:r>
    </w:p>
    <w:p w:rsidR="00000000" w:rsidDel="00000000" w:rsidP="00000000" w:rsidRDefault="00000000" w:rsidRPr="00000000" w14:paraId="0000001A">
      <w:pPr>
        <w:numPr>
          <w:ilvl w:val="1"/>
          <w:numId w:val="3"/>
        </w:numPr>
        <w:spacing w:after="200" w:before="0" w:lineRule="auto"/>
        <w:ind w:left="1440" w:hanging="360"/>
        <w:rPr>
          <w:u w:val="none"/>
        </w:rPr>
      </w:pPr>
      <w:r w:rsidDel="00000000" w:rsidR="00000000" w:rsidRPr="00000000">
        <w:rPr>
          <w:rtl w:val="0"/>
        </w:rPr>
        <w:t xml:space="preserve">The amount expended;</w:t>
      </w:r>
    </w:p>
    <w:p w:rsidR="00000000" w:rsidDel="00000000" w:rsidP="00000000" w:rsidRDefault="00000000" w:rsidRPr="00000000" w14:paraId="0000001B">
      <w:pPr>
        <w:numPr>
          <w:ilvl w:val="1"/>
          <w:numId w:val="3"/>
        </w:numPr>
        <w:spacing w:after="200" w:before="0" w:lineRule="auto"/>
        <w:ind w:left="1440" w:hanging="360"/>
        <w:rPr>
          <w:u w:val="none"/>
        </w:rPr>
      </w:pPr>
      <w:r w:rsidDel="00000000" w:rsidR="00000000" w:rsidRPr="00000000">
        <w:rPr>
          <w:rtl w:val="0"/>
        </w:rPr>
        <w:t xml:space="preserve">The purpose of the expenditure;</w:t>
      </w:r>
    </w:p>
    <w:p w:rsidR="00000000" w:rsidDel="00000000" w:rsidP="00000000" w:rsidRDefault="00000000" w:rsidRPr="00000000" w14:paraId="0000001C">
      <w:pPr>
        <w:numPr>
          <w:ilvl w:val="1"/>
          <w:numId w:val="3"/>
        </w:numPr>
        <w:spacing w:after="200" w:before="0" w:lineRule="auto"/>
        <w:ind w:left="1440" w:hanging="360"/>
        <w:rPr>
          <w:u w:val="none"/>
        </w:rPr>
      </w:pPr>
      <w:r w:rsidDel="00000000" w:rsidR="00000000" w:rsidRPr="00000000">
        <w:rPr>
          <w:rtl w:val="0"/>
        </w:rPr>
        <w:t xml:space="preserve">The approving Council resolution or ordinance;</w:t>
      </w:r>
    </w:p>
    <w:p w:rsidR="00000000" w:rsidDel="00000000" w:rsidP="00000000" w:rsidRDefault="00000000" w:rsidRPr="00000000" w14:paraId="0000001D">
      <w:pPr>
        <w:numPr>
          <w:ilvl w:val="1"/>
          <w:numId w:val="3"/>
        </w:numPr>
        <w:spacing w:after="200" w:before="200" w:lineRule="auto"/>
        <w:ind w:left="1440" w:hanging="360"/>
        <w:rPr>
          <w:u w:val="none"/>
        </w:rPr>
      </w:pPr>
      <w:r w:rsidDel="00000000" w:rsidR="00000000" w:rsidRPr="00000000">
        <w:rPr>
          <w:rtl w:val="0"/>
        </w:rPr>
        <w:t xml:space="preserve">The identity of the initiating Council Member.</w:t>
      </w:r>
    </w:p>
    <w:p w:rsidR="00000000" w:rsidDel="00000000" w:rsidP="00000000" w:rsidRDefault="00000000" w:rsidRPr="00000000" w14:paraId="0000001E">
      <w:pPr>
        <w:pStyle w:val="Heading2"/>
        <w:spacing w:after="0" w:before="200" w:lineRule="auto"/>
        <w:rPr>
          <w:u w:val="single"/>
        </w:rPr>
      </w:pPr>
      <w:bookmarkStart w:colFirst="0" w:colLast="0" w:name="_heading=h.9r0pf4rc67s3" w:id="2"/>
      <w:bookmarkEnd w:id="2"/>
      <w:r w:rsidDel="00000000" w:rsidR="00000000" w:rsidRPr="00000000">
        <w:rPr>
          <w:u w:val="single"/>
          <w:rtl w:val="0"/>
        </w:rPr>
        <w:t xml:space="preserve">Section 3. Oversight and Enforcement</w:t>
      </w:r>
    </w:p>
    <w:p w:rsidR="00000000" w:rsidDel="00000000" w:rsidP="00000000" w:rsidRDefault="00000000" w:rsidRPr="00000000" w14:paraId="0000001F">
      <w:pPr>
        <w:numPr>
          <w:ilvl w:val="0"/>
          <w:numId w:val="2"/>
        </w:numPr>
        <w:spacing w:after="200" w:before="200" w:lineRule="auto"/>
        <w:ind w:left="720" w:hanging="360"/>
        <w:rPr>
          <w:u w:val="none"/>
        </w:rPr>
      </w:pPr>
      <w:r w:rsidDel="00000000" w:rsidR="00000000" w:rsidRPr="00000000">
        <w:rPr>
          <w:rtl w:val="0"/>
        </w:rPr>
        <w:t xml:space="preserve">The City Council may appoint a Treasurer from among its Members to oversee the reconciliation of the account and ensure compliance with this Ordinance. If a treasurer is not appointed, the Mayor of Icenia City shall take the role of Treasurer until an appointment is made.</w:t>
      </w:r>
    </w:p>
    <w:p w:rsidR="00000000" w:rsidDel="00000000" w:rsidP="00000000" w:rsidRDefault="00000000" w:rsidRPr="00000000" w14:paraId="00000020">
      <w:pPr>
        <w:numPr>
          <w:ilvl w:val="0"/>
          <w:numId w:val="2"/>
        </w:numPr>
        <w:spacing w:after="200" w:before="200" w:lineRule="auto"/>
        <w:ind w:left="720" w:hanging="360"/>
        <w:rPr>
          <w:u w:val="none"/>
        </w:rPr>
      </w:pPr>
      <w:r w:rsidDel="00000000" w:rsidR="00000000" w:rsidRPr="00000000">
        <w:rPr>
          <w:rtl w:val="0"/>
        </w:rPr>
        <w:t xml:space="preserve">Any unauthorized use of funds shall be subject to investigation and disciplinary action under municipal ethics law, and may constitute grounds for removal from office.</w:t>
      </w:r>
    </w:p>
    <w:p w:rsidR="00000000" w:rsidDel="00000000" w:rsidP="00000000" w:rsidRDefault="00000000" w:rsidRPr="00000000" w14:paraId="00000021">
      <w:pPr>
        <w:numPr>
          <w:ilvl w:val="0"/>
          <w:numId w:val="2"/>
        </w:numPr>
        <w:spacing w:after="200" w:before="200" w:lineRule="auto"/>
        <w:ind w:left="720" w:hanging="360"/>
        <w:rPr>
          <w:u w:val="none"/>
        </w:rPr>
      </w:pPr>
      <w:r w:rsidDel="00000000" w:rsidR="00000000" w:rsidRPr="00000000">
        <w:rPr>
          <w:rtl w:val="0"/>
        </w:rPr>
        <w:t xml:space="preserve">Monument Bank shall be notified of the joint-access structure and shall be required to implement multi-signature protocols or equivalent safeguards as defined by the City Council.</w:t>
      </w:r>
    </w:p>
    <w:p w:rsidR="00000000" w:rsidDel="00000000" w:rsidP="00000000" w:rsidRDefault="00000000" w:rsidRPr="00000000" w14:paraId="00000022">
      <w:pPr>
        <w:pStyle w:val="Heading2"/>
        <w:spacing w:after="0" w:before="200" w:lineRule="auto"/>
        <w:rPr>
          <w:u w:val="single"/>
        </w:rPr>
      </w:pPr>
      <w:bookmarkStart w:colFirst="0" w:colLast="0" w:name="_heading=h.1ugu151910yd" w:id="3"/>
      <w:bookmarkEnd w:id="3"/>
      <w:r w:rsidDel="00000000" w:rsidR="00000000" w:rsidRPr="00000000">
        <w:rPr>
          <w:u w:val="single"/>
          <w:rtl w:val="0"/>
        </w:rPr>
        <w:t xml:space="preserve">Section 4. Federal Oversight and Access</w:t>
      </w:r>
    </w:p>
    <w:p w:rsidR="00000000" w:rsidDel="00000000" w:rsidP="00000000" w:rsidRDefault="00000000" w:rsidRPr="00000000" w14:paraId="00000023">
      <w:pPr>
        <w:numPr>
          <w:ilvl w:val="0"/>
          <w:numId w:val="1"/>
        </w:numPr>
        <w:spacing w:after="200" w:before="200" w:lineRule="auto"/>
        <w:ind w:left="720" w:hanging="360"/>
        <w:rPr>
          <w:sz w:val="22"/>
          <w:szCs w:val="22"/>
        </w:rPr>
      </w:pPr>
      <w:r w:rsidDel="00000000" w:rsidR="00000000" w:rsidRPr="00000000">
        <w:rPr>
          <w:rtl w:val="0"/>
        </w:rPr>
        <w:t xml:space="preserve">The Secretary of the Treasury of the Federal Government is hereby granted joint access to the Icenia City Treasury Account at Monument Bank for the purpose of:</w:t>
      </w:r>
    </w:p>
    <w:p w:rsidR="00000000" w:rsidDel="00000000" w:rsidP="00000000" w:rsidRDefault="00000000" w:rsidRPr="00000000" w14:paraId="00000024">
      <w:pPr>
        <w:numPr>
          <w:ilvl w:val="1"/>
          <w:numId w:val="1"/>
        </w:numPr>
        <w:spacing w:after="200" w:before="200" w:lineRule="auto"/>
        <w:ind w:left="1440" w:hanging="360"/>
        <w:rPr>
          <w:sz w:val="22"/>
          <w:szCs w:val="22"/>
        </w:rPr>
      </w:pPr>
      <w:r w:rsidDel="00000000" w:rsidR="00000000" w:rsidRPr="00000000">
        <w:rPr>
          <w:rtl w:val="0"/>
        </w:rPr>
        <w:t xml:space="preserve">Monitoring compliance with federal fiscal regulations;</w:t>
      </w:r>
    </w:p>
    <w:p w:rsidR="00000000" w:rsidDel="00000000" w:rsidP="00000000" w:rsidRDefault="00000000" w:rsidRPr="00000000" w14:paraId="00000025">
      <w:pPr>
        <w:numPr>
          <w:ilvl w:val="1"/>
          <w:numId w:val="1"/>
        </w:numPr>
        <w:spacing w:after="200" w:before="200" w:lineRule="auto"/>
        <w:ind w:left="1440" w:hanging="360"/>
        <w:rPr>
          <w:sz w:val="22"/>
          <w:szCs w:val="22"/>
        </w:rPr>
      </w:pPr>
      <w:r w:rsidDel="00000000" w:rsidR="00000000" w:rsidRPr="00000000">
        <w:rPr>
          <w:rtl w:val="0"/>
        </w:rPr>
        <w:t xml:space="preserve">Auditing disbursements and account activity;</w:t>
      </w:r>
    </w:p>
    <w:p w:rsidR="00000000" w:rsidDel="00000000" w:rsidP="00000000" w:rsidRDefault="00000000" w:rsidRPr="00000000" w14:paraId="00000026">
      <w:pPr>
        <w:numPr>
          <w:ilvl w:val="1"/>
          <w:numId w:val="1"/>
        </w:numPr>
        <w:spacing w:after="200" w:before="200" w:lineRule="auto"/>
        <w:ind w:left="1440" w:hanging="360"/>
        <w:rPr>
          <w:sz w:val="22"/>
          <w:szCs w:val="22"/>
        </w:rPr>
      </w:pPr>
      <w:r w:rsidDel="00000000" w:rsidR="00000000" w:rsidRPr="00000000">
        <w:rPr>
          <w:rtl w:val="0"/>
        </w:rPr>
        <w:t xml:space="preserve">Ensuring integrity and lawful use of public funds;</w:t>
      </w:r>
    </w:p>
    <w:p w:rsidR="00000000" w:rsidDel="00000000" w:rsidP="00000000" w:rsidRDefault="00000000" w:rsidRPr="00000000" w14:paraId="00000027">
      <w:pPr>
        <w:numPr>
          <w:ilvl w:val="1"/>
          <w:numId w:val="1"/>
        </w:numPr>
        <w:spacing w:after="200" w:before="200" w:lineRule="auto"/>
        <w:ind w:left="1440" w:hanging="360"/>
        <w:rPr>
          <w:sz w:val="22"/>
          <w:szCs w:val="22"/>
        </w:rPr>
      </w:pPr>
      <w:r w:rsidDel="00000000" w:rsidR="00000000" w:rsidRPr="00000000">
        <w:rPr>
          <w:rtl w:val="0"/>
        </w:rPr>
        <w:t xml:space="preserve">Facilitating intergovernmental transfers or appropriations as authorized by federal law.</w:t>
      </w:r>
    </w:p>
    <w:p w:rsidR="00000000" w:rsidDel="00000000" w:rsidP="00000000" w:rsidRDefault="00000000" w:rsidRPr="00000000" w14:paraId="00000028">
      <w:pPr>
        <w:numPr>
          <w:ilvl w:val="1"/>
          <w:numId w:val="1"/>
        </w:numPr>
        <w:spacing w:after="200" w:before="200" w:lineRule="auto"/>
        <w:ind w:left="1440" w:hanging="360"/>
        <w:rPr>
          <w:sz w:val="22"/>
          <w:szCs w:val="22"/>
        </w:rPr>
      </w:pPr>
      <w:r w:rsidDel="00000000" w:rsidR="00000000" w:rsidRPr="00000000">
        <w:rPr>
          <w:rtl w:val="0"/>
        </w:rPr>
        <w:t xml:space="preserve">Facilitating transfer of account access between successive iterations of the City Council</w:t>
      </w:r>
    </w:p>
    <w:p w:rsidR="00000000" w:rsidDel="00000000" w:rsidP="00000000" w:rsidRDefault="00000000" w:rsidRPr="00000000" w14:paraId="00000029">
      <w:pPr>
        <w:numPr>
          <w:ilvl w:val="0"/>
          <w:numId w:val="1"/>
        </w:numPr>
        <w:spacing w:after="200" w:before="200" w:lineRule="auto"/>
        <w:ind w:left="720" w:hanging="360"/>
        <w:rPr>
          <w:sz w:val="22"/>
          <w:szCs w:val="22"/>
        </w:rPr>
      </w:pPr>
      <w:r w:rsidDel="00000000" w:rsidR="00000000" w:rsidRPr="00000000">
        <w:rPr>
          <w:rtl w:val="0"/>
        </w:rPr>
        <w:t xml:space="preserve">The Secretary shall not initiate expenditures from the account without express authorization from the City Council, except in cases of emergency intervention authorized by the Senate of Icenia or the President of Icenia.</w:t>
      </w:r>
    </w:p>
    <w:p w:rsidR="00000000" w:rsidDel="00000000" w:rsidP="00000000" w:rsidRDefault="00000000" w:rsidRPr="00000000" w14:paraId="0000002A">
      <w:pPr>
        <w:numPr>
          <w:ilvl w:val="0"/>
          <w:numId w:val="1"/>
        </w:numPr>
        <w:spacing w:after="200" w:before="200" w:lineRule="auto"/>
        <w:ind w:left="720" w:hanging="360"/>
        <w:rPr>
          <w:sz w:val="22"/>
          <w:szCs w:val="22"/>
        </w:rPr>
      </w:pPr>
      <w:r w:rsidDel="00000000" w:rsidR="00000000" w:rsidRPr="00000000">
        <w:rPr>
          <w:rtl w:val="0"/>
        </w:rPr>
        <w:t xml:space="preserve">The Secretary of Treasury may request documentation, transaction logs, and Council resolutions related to account activity, and shall be provided such records within five (5) business days of request.</w:t>
      </w:r>
      <w:r w:rsidDel="00000000" w:rsidR="00000000" w:rsidRPr="00000000">
        <w:rPr>
          <w:rtl w:val="0"/>
        </w:rPr>
      </w:r>
    </w:p>
    <w:sectPr>
      <w:headerReference r:id="rId8" w:type="first"/>
      <w:footerReference r:id="rId9"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rPr/>
    </w:pPr>
    <w:r w:rsidDel="00000000" w:rsidR="00000000" w:rsidRPr="00000000">
      <w:rPr>
        <w:rtl w:val="0"/>
      </w:rPr>
      <w:t xml:space="preserve">This document, last compiled by </w:t>
    </w:r>
    <w:r w:rsidDel="00000000" w:rsidR="00000000" w:rsidRPr="00000000">
      <w:rPr>
        <w:b w:val="1"/>
        <w:bCs w:val="1"/>
        <w:rtl w:val="0"/>
      </w:rPr>
      <w:t xml:space="preserve">CreepilyCreep</w:t>
    </w:r>
    <w:r w:rsidDel="00000000" w:rsidR="00000000" w:rsidRPr="00000000">
      <w:rPr>
        <w:rtl w:val="0"/>
      </w:rPr>
      <w:t xml:space="preserve">, includes all legislation enacted and amended up to and including the </w:t>
    </w:r>
    <w:r w:rsidDel="00000000" w:rsidR="00000000" w:rsidRPr="00000000">
      <w:rPr>
        <w:b w:val="1"/>
        <w:bCs w:val="1"/>
        <w:rtl w:val="0"/>
      </w:rPr>
      <w:t xml:space="preserve">Archival Standards Act</w:t>
    </w:r>
    <w:r w:rsidDel="00000000" w:rsidR="00000000" w:rsidRPr="00000000">
      <w:rPr>
        <w:rtl w:val="0"/>
      </w:rPr>
      <w:t xml:space="preserve"> passed on </w:t>
    </w:r>
    <w:r w:rsidDel="00000000" w:rsidR="00000000" w:rsidRPr="00000000">
      <w:rPr>
        <w:b w:val="1"/>
        <w:bCs w:val="1"/>
        <w:rtl w:val="0"/>
      </w:rPr>
      <w:t xml:space="preserve">3rd January 2026</w:t>
    </w:r>
    <w:r w:rsidDel="00000000" w:rsidR="00000000" w:rsidRPr="00000000">
      <w:rPr>
        <w:rtl w:val="0"/>
      </w:rPr>
      <w:t xml:space="preserv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Normal3" w:customStyle="1">
    <w:name w:val="TableNormal"/>
    <w:tblPr>
      <w:tblCellMar>
        <w:top w:w="100.0" w:type="dxa"/>
        <w:left w:w="100.0" w:type="dxa"/>
        <w:bottom w:w="100.0" w:type="dxa"/>
        <w:right w:w="100.0" w:type="dxa"/>
      </w:tblCellMar>
    </w:tblPr>
  </w:style>
  <w:style w:type="table" w:styleId="TableNormal4" w:customStyle="1">
    <w:name w:val="TableNormal"/>
    <w:tblPr>
      <w:tblCellMar>
        <w:top w:w="100.0" w:type="dxa"/>
        <w:left w:w="100.0" w:type="dxa"/>
        <w:bottom w:w="100.0" w:type="dxa"/>
        <w:right w:w="100.0" w:type="dxa"/>
      </w:tblCellMar>
    </w:tblPr>
  </w:style>
  <w:style w:type="table" w:styleId="TableNormal5" w:customStyle="1">
    <w:name w:val="TableNormal"/>
    <w:tblPr>
      <w:tblCellMar>
        <w:top w:w="100.0" w:type="dxa"/>
        <w:left w:w="100.0" w:type="dxa"/>
        <w:bottom w:w="100.0" w:type="dxa"/>
        <w:right w:w="100.0" w:type="dxa"/>
      </w:tblCellMar>
    </w:tblPr>
  </w:style>
  <w:style w:type="table" w:styleId="TableNormal6" w:customStyle="1">
    <w:name w:val="TableNormal"/>
    <w:tblPr>
      <w:tblCellMar>
        <w:top w:w="100.0" w:type="dxa"/>
        <w:left w:w="100.0" w:type="dxa"/>
        <w:bottom w:w="100.0" w:type="dxa"/>
        <w:right w:w="100.0" w:type="dxa"/>
      </w:tblCellMar>
    </w:tblPr>
  </w:style>
  <w:style w:type="table" w:styleId="TableNormal7" w:customStyle="1">
    <w:name w:val="TableNormal"/>
    <w:tblPr>
      <w:tblCellMar>
        <w:top w:w="100.0" w:type="dxa"/>
        <w:left w:w="100.0" w:type="dxa"/>
        <w:bottom w:w="100.0" w:type="dxa"/>
        <w:right w:w="100.0" w:type="dxa"/>
      </w:tblCellMar>
    </w:tblPr>
  </w:style>
  <w:style w:type="table" w:styleId="TableNormal8" w:customStyle="1">
    <w:name w:val="TableNormal"/>
    <w:tblPr>
      <w:tblCellMar>
        <w:top w:w="100.0" w:type="dxa"/>
        <w:left w:w="100.0" w:type="dxa"/>
        <w:bottom w:w="100.0" w:type="dxa"/>
        <w:right w:w="100.0" w:type="dxa"/>
      </w:tblCellMar>
    </w:tblPr>
  </w:style>
  <w:style w:type="table" w:styleId="TableNormal9" w:customStyle="1">
    <w:name w:val="TableNormal"/>
    <w:tblPr>
      <w:tblCellMar>
        <w:top w:w="100.0" w:type="dxa"/>
        <w:left w:w="100.0" w:type="dxa"/>
        <w:bottom w:w="100.0" w:type="dxa"/>
        <w:right w:w="100.0" w:type="dxa"/>
      </w:tblCellMar>
    </w:tblPr>
  </w:style>
  <w:style w:type="table" w:styleId="a" w:customStyle="1">
    <w:basedOn w:val="TableNormal9"/>
    <w:tblPr>
      <w:tblStyleRowBandSize w:val="1"/>
      <w:tblStyleColBandSize w:val="1"/>
    </w:tblPr>
  </w:style>
  <w:style w:type="table" w:styleId="a0" w:customStyle="1">
    <w:basedOn w:val="TableNormal9"/>
    <w:tblPr>
      <w:tblStyleRowBandSize w:val="1"/>
      <w:tblStyleColBandSize w:val="1"/>
    </w:tblPr>
  </w:style>
  <w:style w:type="table" w:styleId="a1" w:customStyle="1">
    <w:basedOn w:val="TableNormal9"/>
    <w:tblPr>
      <w:tblStyleRowBandSize w:val="1"/>
      <w:tblStyleColBandSize w:val="1"/>
    </w:tblPr>
  </w:style>
  <w:style w:type="table" w:styleId="a2" w:customStyle="1">
    <w:basedOn w:val="TableNormal9"/>
    <w:tblPr>
      <w:tblStyleRowBandSize w:val="1"/>
      <w:tblStyleColBandSize w:val="1"/>
    </w:tblPr>
  </w:style>
  <w:style w:type="table" w:styleId="a3" w:customStyle="1">
    <w:basedOn w:val="TableNormal9"/>
    <w:tblPr>
      <w:tblStyleRowBandSize w:val="1"/>
      <w:tblStyleColBandSize w:val="1"/>
    </w:tblPr>
  </w:style>
  <w:style w:type="character" w:styleId="PlaceholderText">
    <w:name w:val="Placeholder Text"/>
    <w:basedOn w:val="DefaultParagraphFont"/>
    <w:uiPriority w:val="99"/>
    <w:semiHidden w:val="1"/>
    <w:rsid w:val="007D452B"/>
    <w:rPr>
      <w:color w:val="666666"/>
    </w:r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85j9jL75sj819szEcWwVdL/3dA==">CgMxLjAyDmguYTd1a3h0YWtpdHV6Mg5oLnk3eGozdGh0YjltazIOaC45cjBwZjRyYzY3czMyDmguMXVndTE1MTkxMHlkOAByITFVaUg4bkNnMjN4YTRsZXFEOXVRSjNWQzdNbjBkMk1Oag==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2026-01-07T07:48:00Z</dcterms:created>
</cp:coreProperties>
</file>