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Garamond" w:cs="Garamond" w:eastAsia="Garamond" w:hAnsi="Garamond"/>
          <w:b w:val="1"/>
          <w:bCs w:val="1"/>
          <w:i w:val="1"/>
          <w:iCs w:val="1"/>
          <w:sz w:val="40"/>
          <w:szCs w:val="40"/>
        </w:rPr>
      </w:pPr>
      <w:r w:rsidDel="00000000" w:rsidR="00000000" w:rsidRPr="00000000">
        <w:rPr>
          <w:rtl w:val="0"/>
        </w:rPr>
      </w:r>
    </w:p>
    <w:p w:rsidR="00000000" w:rsidDel="00000000" w:rsidP="00000000" w:rsidRDefault="00000000" w:rsidRPr="00000000" w14:paraId="00000002">
      <w:pPr>
        <w:spacing w:line="240" w:lineRule="auto"/>
        <w:jc w:val="center"/>
        <w:rPr>
          <w:rFonts w:ascii="Garamond" w:cs="Garamond" w:eastAsia="Garamond" w:hAnsi="Garamond"/>
          <w:b w:val="1"/>
          <w:bCs w:val="1"/>
          <w:i w:val="1"/>
          <w:iCs w:val="1"/>
          <w:strike w:val="1"/>
          <w:sz w:val="40"/>
          <w:szCs w:val="40"/>
        </w:rPr>
      </w:pPr>
      <w:r w:rsidDel="00000000" w:rsidR="00000000" w:rsidRPr="00000000">
        <w:rPr>
          <w:rFonts w:ascii="Garamond" w:cs="Garamond" w:eastAsia="Garamond" w:hAnsi="Garamond"/>
          <w:b w:val="1"/>
          <w:bCs w:val="1"/>
          <w:i w:val="1"/>
          <w:iCs w:val="1"/>
          <w:strike w:val="1"/>
          <w:sz w:val="40"/>
          <w:szCs w:val="40"/>
        </w:rPr>
        <w:drawing>
          <wp:inline distB="0" distT="0" distL="0" distR="0">
            <wp:extent cx="3339938" cy="3522590"/>
            <wp:effectExtent b="0" l="0" r="0" t="0"/>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339938" cy="352259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line="240" w:lineRule="auto"/>
        <w:jc w:val="center"/>
        <w:rPr>
          <w:rFonts w:ascii="Garamond" w:cs="Garamond" w:eastAsia="Garamond" w:hAnsi="Garamond"/>
          <w:b w:val="1"/>
          <w:bCs w:val="1"/>
          <w:i w:val="1"/>
          <w:iCs w:val="1"/>
          <w:sz w:val="40"/>
          <w:szCs w:val="40"/>
        </w:rPr>
      </w:pPr>
      <w:r w:rsidDel="00000000" w:rsidR="00000000" w:rsidRPr="00000000">
        <w:rPr>
          <w:rtl w:val="0"/>
        </w:rPr>
      </w:r>
    </w:p>
    <w:p w:rsidR="00000000" w:rsidDel="00000000" w:rsidP="00000000" w:rsidRDefault="00000000" w:rsidRPr="00000000" w14:paraId="00000004">
      <w:pPr>
        <w:spacing w:line="240" w:lineRule="auto"/>
        <w:jc w:val="center"/>
        <w:rPr>
          <w:rFonts w:ascii="Garamond" w:cs="Garamond" w:eastAsia="Garamond" w:hAnsi="Garamond"/>
          <w:b w:val="1"/>
          <w:bCs w:val="1"/>
          <w:i w:val="1"/>
          <w:iCs w:val="1"/>
          <w:sz w:val="40"/>
          <w:szCs w:val="40"/>
        </w:rPr>
      </w:pPr>
      <w:r w:rsidDel="00000000" w:rsidR="00000000" w:rsidRPr="00000000">
        <w:rPr>
          <w:rFonts w:ascii="Garamond" w:cs="Garamond" w:eastAsia="Garamond" w:hAnsi="Garamond"/>
          <w:b w:val="1"/>
          <w:bCs w:val="1"/>
          <w:i w:val="1"/>
          <w:iCs w:val="1"/>
          <w:sz w:val="40"/>
          <w:szCs w:val="40"/>
          <w:rtl w:val="0"/>
        </w:rPr>
        <w:t xml:space="preserve">THE REPUBLIC OF ICENIA</w:t>
      </w:r>
    </w:p>
    <w:p w:rsidR="00000000" w:rsidDel="00000000" w:rsidP="00000000" w:rsidRDefault="00000000" w:rsidRPr="00000000" w14:paraId="00000005">
      <w:pPr>
        <w:spacing w:line="240" w:lineRule="auto"/>
        <w:jc w:val="center"/>
        <w:rPr>
          <w:rFonts w:ascii="Garamond" w:cs="Garamond" w:eastAsia="Garamond" w:hAnsi="Garamond"/>
          <w:b w:val="1"/>
          <w:bCs w:val="1"/>
          <w:i w:val="1"/>
          <w:iCs w:val="1"/>
          <w:sz w:val="40"/>
          <w:szCs w:val="40"/>
        </w:rPr>
      </w:pPr>
      <w:r w:rsidDel="00000000" w:rsidR="00000000" w:rsidRPr="00000000">
        <w:rPr>
          <w:rtl w:val="0"/>
        </w:rPr>
      </w:r>
    </w:p>
    <w:p w:rsidR="00000000" w:rsidDel="00000000" w:rsidP="00000000" w:rsidRDefault="00000000" w:rsidRPr="00000000" w14:paraId="00000006">
      <w:pPr>
        <w:spacing w:line="328" w:lineRule="auto"/>
        <w:rPr>
          <w:b w:val="1"/>
          <w:bCs w:val="1"/>
          <w:sz w:val="72"/>
          <w:szCs w:val="72"/>
        </w:rPr>
      </w:pPr>
      <w:r w:rsidDel="00000000" w:rsidR="00000000" w:rsidRPr="00000000">
        <w:pict>
          <v:rect style="width:0.0pt;height:1.5pt" o:hr="t" o:hrstd="t" o:hralign="center" fillcolor="#A0A0A0" stroked="f"/>
        </w:pict>
      </w:r>
      <w:r w:rsidDel="00000000" w:rsidR="00000000" w:rsidRPr="00000000">
        <w:rPr>
          <w:rtl w:val="0"/>
        </w:rPr>
      </w:r>
    </w:p>
    <w:tbl>
      <w:tblPr>
        <w:tblStyle w:val="Table1"/>
        <w:tblW w:w="9029.0" w:type="dxa"/>
        <w:jc w:val="center"/>
        <w:tblLayout w:type="fixed"/>
        <w:tblLook w:val="0600"/>
      </w:tblPr>
      <w:tblGrid>
        <w:gridCol w:w="9029"/>
        <w:tblGridChange w:id="0">
          <w:tblGrid>
            <w:gridCol w:w="9029"/>
          </w:tblGrid>
        </w:tblGridChange>
      </w:tblGrid>
      <w:tr>
        <w:trPr>
          <w:cantSplit w:val="0"/>
          <w:trHeight w:val="2649.6000000000004"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007">
            <w:pPr>
              <w:spacing w:line="240" w:lineRule="auto"/>
              <w:jc w:val="center"/>
              <w:rPr>
                <w:rFonts w:ascii="Garamond" w:cs="Garamond" w:eastAsia="Garamond" w:hAnsi="Garamond"/>
                <w:b w:val="1"/>
                <w:bCs w:val="1"/>
                <w:sz w:val="72"/>
                <w:szCs w:val="72"/>
              </w:rPr>
            </w:pPr>
            <w:r w:rsidDel="00000000" w:rsidR="00000000" w:rsidRPr="00000000">
              <w:rPr>
                <w:rFonts w:ascii="Garamond" w:cs="Garamond" w:eastAsia="Garamond" w:hAnsi="Garamond"/>
                <w:b w:val="1"/>
                <w:bCs w:val="1"/>
                <w:sz w:val="72"/>
                <w:szCs w:val="72"/>
                <w:rtl w:val="0"/>
              </w:rPr>
              <w:t xml:space="preserve">Building Standards and Processes Act</w:t>
            </w:r>
          </w:p>
        </w:tc>
      </w:tr>
    </w:tbl>
    <w:p w:rsidR="00000000" w:rsidDel="00000000" w:rsidP="00000000" w:rsidRDefault="00000000" w:rsidRPr="00000000" w14:paraId="00000008">
      <w:pPr>
        <w:spacing w:line="328"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t xml:space="preserve">This document, last compiled by </w:t>
      </w:r>
      <w:r w:rsidDel="00000000" w:rsidR="00000000" w:rsidRPr="00000000">
        <w:rPr>
          <w:b w:val="1"/>
          <w:bCs w:val="1"/>
          <w:rtl w:val="0"/>
        </w:rPr>
        <w:t xml:space="preserve">CreepilyCreep</w:t>
      </w:r>
      <w:r w:rsidDel="00000000" w:rsidR="00000000" w:rsidRPr="00000000">
        <w:rPr>
          <w:rtl w:val="0"/>
        </w:rPr>
        <w:t xml:space="preserve">, </w:t>
      </w:r>
    </w:p>
    <w:p w:rsidR="00000000" w:rsidDel="00000000" w:rsidP="00000000" w:rsidRDefault="00000000" w:rsidRPr="00000000" w14:paraId="0000000C">
      <w:pPr>
        <w:jc w:val="center"/>
        <w:rPr/>
      </w:pPr>
      <w:r w:rsidDel="00000000" w:rsidR="00000000" w:rsidRPr="00000000">
        <w:rPr>
          <w:rtl w:val="0"/>
        </w:rPr>
        <w:t xml:space="preserve">includes all legislation enacted and amended </w:t>
      </w:r>
    </w:p>
    <w:p w:rsidR="00000000" w:rsidDel="00000000" w:rsidP="00000000" w:rsidRDefault="00000000" w:rsidRPr="00000000" w14:paraId="0000000D">
      <w:pPr>
        <w:jc w:val="center"/>
        <w:rPr/>
      </w:pPr>
      <w:r w:rsidDel="00000000" w:rsidR="00000000" w:rsidRPr="00000000">
        <w:rPr>
          <w:rtl w:val="0"/>
        </w:rPr>
        <w:t xml:space="preserve">up to and including the </w:t>
      </w:r>
      <w:r w:rsidDel="00000000" w:rsidR="00000000" w:rsidRPr="00000000">
        <w:rPr>
          <w:b w:val="1"/>
          <w:bCs w:val="1"/>
          <w:rtl w:val="0"/>
        </w:rPr>
        <w:t xml:space="preserve">Icenia Capital Territory Establishment Legislative Package</w:t>
      </w: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t xml:space="preserve">passed on </w:t>
      </w:r>
      <w:r w:rsidDel="00000000" w:rsidR="00000000" w:rsidRPr="00000000">
        <w:rPr>
          <w:b w:val="1"/>
          <w:bCs w:val="1"/>
          <w:rtl w:val="0"/>
        </w:rPr>
        <w:t xml:space="preserve">19th November 2025</w:t>
      </w:r>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0F">
      <w:pPr>
        <w:spacing w:after="80" w:line="331.2" w:lineRule="auto"/>
        <w:jc w:val="center"/>
        <w:rPr>
          <w:sz w:val="52"/>
          <w:szCs w:val="52"/>
        </w:rPr>
      </w:pPr>
      <w:r w:rsidDel="00000000" w:rsidR="00000000" w:rsidRPr="00000000">
        <w:rPr>
          <w:sz w:val="52"/>
          <w:szCs w:val="52"/>
          <w:rtl w:val="0"/>
        </w:rPr>
        <w:t xml:space="preserve">Building Standards and Processes Act</w:t>
      </w:r>
    </w:p>
    <w:p w:rsidR="00000000" w:rsidDel="00000000" w:rsidP="00000000" w:rsidRDefault="00000000" w:rsidRPr="00000000" w14:paraId="00000010">
      <w:pPr>
        <w:pStyle w:val="Heading2"/>
        <w:keepNext w:val="0"/>
        <w:keepLines w:val="0"/>
        <w:spacing w:after="80" w:line="331.2" w:lineRule="auto"/>
        <w:ind w:left="720" w:hanging="360"/>
        <w:rPr/>
      </w:pPr>
      <w:bookmarkStart w:colFirst="0" w:colLast="0" w:name="_heading=h.eg2amro3smvd" w:id="0"/>
      <w:bookmarkEnd w:id="0"/>
      <w:r w:rsidDel="00000000" w:rsidR="00000000" w:rsidRPr="00000000">
        <w:rPr>
          <w:rtl w:val="0"/>
        </w:rPr>
        <w:t xml:space="preserve">Article 1: Civilian Building Approval Process:</w:t>
      </w:r>
    </w:p>
    <w:p w:rsidR="00000000" w:rsidDel="00000000" w:rsidP="00000000" w:rsidRDefault="00000000" w:rsidRPr="00000000" w14:paraId="00000011">
      <w:pPr>
        <w:spacing w:line="331.2" w:lineRule="auto"/>
        <w:rPr/>
      </w:pPr>
      <w:r w:rsidDel="00000000" w:rsidR="00000000" w:rsidRPr="00000000">
        <w:rPr>
          <w:rtl w:val="0"/>
        </w:rPr>
        <w:t xml:space="preserve">To begin the construction of a new civilian building outside the territory of an established State or Icenia City, the following process must be followed:</w:t>
      </w:r>
    </w:p>
    <w:p w:rsidR="00000000" w:rsidDel="00000000" w:rsidP="00000000" w:rsidRDefault="00000000" w:rsidRPr="00000000" w14:paraId="00000012">
      <w:pPr>
        <w:numPr>
          <w:ilvl w:val="0"/>
          <w:numId w:val="2"/>
        </w:numPr>
        <w:spacing w:line="276" w:lineRule="auto"/>
        <w:ind w:left="720" w:hanging="360"/>
      </w:pPr>
      <w:r w:rsidDel="00000000" w:rsidR="00000000" w:rsidRPr="00000000">
        <w:rPr>
          <w:rtl w:val="0"/>
        </w:rPr>
        <w:t xml:space="preserve">The prospective property owner must select a vacant plot, derelict building, or un-demarcated piece of land that they are interested in and submit an application in #building-approvals - see Index I.</w:t>
      </w:r>
    </w:p>
    <w:p w:rsidR="00000000" w:rsidDel="00000000" w:rsidP="00000000" w:rsidRDefault="00000000" w:rsidRPr="00000000" w14:paraId="00000013">
      <w:pPr>
        <w:numPr>
          <w:ilvl w:val="0"/>
          <w:numId w:val="2"/>
        </w:numPr>
        <w:spacing w:line="276" w:lineRule="auto"/>
        <w:ind w:left="720" w:hanging="360"/>
      </w:pPr>
      <w:r w:rsidDel="00000000" w:rsidR="00000000" w:rsidRPr="00000000">
        <w:rPr>
          <w:rtl w:val="0"/>
        </w:rPr>
        <w:t xml:space="preserve">The Secretary of the Interior will then review the application and may then ask additional questions or impose stipulations. At this point, the Secretary of the Interior may contact any relevant stakeholders and request their opinions.</w:t>
      </w:r>
    </w:p>
    <w:p w:rsidR="00000000" w:rsidDel="00000000" w:rsidP="00000000" w:rsidRDefault="00000000" w:rsidRPr="00000000" w14:paraId="00000014">
      <w:pPr>
        <w:numPr>
          <w:ilvl w:val="0"/>
          <w:numId w:val="2"/>
        </w:numPr>
        <w:spacing w:line="276" w:lineRule="auto"/>
        <w:ind w:left="720" w:hanging="360"/>
      </w:pPr>
      <w:r w:rsidDel="00000000" w:rsidR="00000000" w:rsidRPr="00000000">
        <w:rPr>
          <w:rtl w:val="0"/>
        </w:rPr>
        <w:t xml:space="preserve">Finally, the Secretary of the Interior will either approve or deny the building application. If the application is approved, construction may begin immediately. If the build is a shop, see Article 3, if the build is an apartment or skyscraper, see Article 4.</w:t>
      </w:r>
    </w:p>
    <w:p w:rsidR="00000000" w:rsidDel="00000000" w:rsidP="00000000" w:rsidRDefault="00000000" w:rsidRPr="00000000" w14:paraId="00000015">
      <w:pPr>
        <w:pStyle w:val="Heading2"/>
        <w:keepNext w:val="0"/>
        <w:keepLines w:val="0"/>
        <w:spacing w:after="80" w:line="331.2" w:lineRule="auto"/>
        <w:ind w:left="720" w:hanging="360"/>
        <w:rPr/>
      </w:pPr>
      <w:bookmarkStart w:colFirst="0" w:colLast="0" w:name="_heading=h.u6njcalammy2" w:id="1"/>
      <w:bookmarkEnd w:id="1"/>
      <w:r w:rsidDel="00000000" w:rsidR="00000000" w:rsidRPr="00000000">
        <w:rPr>
          <w:rtl w:val="0"/>
        </w:rPr>
        <w:t xml:space="preserve">Index</w:t>
      </w:r>
    </w:p>
    <w:p w:rsidR="00000000" w:rsidDel="00000000" w:rsidP="00000000" w:rsidRDefault="00000000" w:rsidRPr="00000000" w14:paraId="00000016">
      <w:pPr>
        <w:spacing w:line="331.2" w:lineRule="auto"/>
        <w:rPr/>
      </w:pPr>
      <w:r w:rsidDel="00000000" w:rsidR="00000000" w:rsidRPr="00000000">
        <w:rPr>
          <w:rtl w:val="0"/>
        </w:rPr>
        <w:t xml:space="preserve">This is a note on how we should set up the discord ticket / forum system.</w:t>
      </w:r>
    </w:p>
    <w:p w:rsidR="00000000" w:rsidDel="00000000" w:rsidP="00000000" w:rsidRDefault="00000000" w:rsidRPr="00000000" w14:paraId="00000017">
      <w:pPr>
        <w:numPr>
          <w:ilvl w:val="0"/>
          <w:numId w:val="1"/>
        </w:numPr>
        <w:spacing w:line="276" w:lineRule="auto"/>
        <w:ind w:left="720" w:hanging="360"/>
      </w:pPr>
      <w:r w:rsidDel="00000000" w:rsidR="00000000" w:rsidRPr="00000000">
        <w:rPr>
          <w:rtl w:val="0"/>
        </w:rPr>
        <w:t xml:space="preserve">The Building Application will include the following questions:</w:t>
      </w:r>
    </w:p>
    <w:p w:rsidR="00000000" w:rsidDel="00000000" w:rsidP="00000000" w:rsidRDefault="00000000" w:rsidRPr="00000000" w14:paraId="00000018">
      <w:pPr>
        <w:numPr>
          <w:ilvl w:val="1"/>
          <w:numId w:val="1"/>
        </w:numPr>
        <w:spacing w:line="276" w:lineRule="auto"/>
        <w:ind w:left="1440" w:hanging="360"/>
      </w:pPr>
      <w:r w:rsidDel="00000000" w:rsidR="00000000" w:rsidRPr="00000000">
        <w:rPr>
          <w:rtl w:val="0"/>
        </w:rPr>
        <w:t xml:space="preserve">Please provide a screenshot of the plot, piece of land, or derelict building you wish to build and / or renovate. Additionally, describe where it is or provide coordinates.</w:t>
      </w:r>
    </w:p>
    <w:p w:rsidR="00000000" w:rsidDel="00000000" w:rsidP="00000000" w:rsidRDefault="00000000" w:rsidRPr="00000000" w14:paraId="00000019">
      <w:pPr>
        <w:numPr>
          <w:ilvl w:val="1"/>
          <w:numId w:val="1"/>
        </w:numPr>
        <w:spacing w:line="276" w:lineRule="auto"/>
        <w:ind w:left="1440" w:hanging="360"/>
      </w:pPr>
      <w:r w:rsidDel="00000000" w:rsidR="00000000" w:rsidRPr="00000000">
        <w:rPr>
          <w:rtl w:val="0"/>
        </w:rPr>
        <w:t xml:space="preserve">Please select what type of building this will be:</w:t>
      </w:r>
    </w:p>
    <w:p w:rsidR="00000000" w:rsidDel="00000000" w:rsidP="00000000" w:rsidRDefault="00000000" w:rsidRPr="00000000" w14:paraId="0000001A">
      <w:pPr>
        <w:numPr>
          <w:ilvl w:val="2"/>
          <w:numId w:val="1"/>
        </w:numPr>
        <w:spacing w:line="276" w:lineRule="auto"/>
        <w:ind w:left="2160" w:hanging="360"/>
      </w:pPr>
      <w:r w:rsidDel="00000000" w:rsidR="00000000" w:rsidRPr="00000000">
        <w:rPr>
          <w:rtl w:val="0"/>
        </w:rPr>
        <w:t xml:space="preserve">House</w:t>
      </w:r>
    </w:p>
    <w:p w:rsidR="00000000" w:rsidDel="00000000" w:rsidP="00000000" w:rsidRDefault="00000000" w:rsidRPr="00000000" w14:paraId="0000001B">
      <w:pPr>
        <w:numPr>
          <w:ilvl w:val="2"/>
          <w:numId w:val="1"/>
        </w:numPr>
        <w:spacing w:line="276" w:lineRule="auto"/>
        <w:ind w:left="2160" w:hanging="360"/>
      </w:pPr>
      <w:r w:rsidDel="00000000" w:rsidR="00000000" w:rsidRPr="00000000">
        <w:rPr>
          <w:rtl w:val="0"/>
        </w:rPr>
        <w:t xml:space="preserve">Shop - see Index II</w:t>
      </w:r>
    </w:p>
    <w:p w:rsidR="00000000" w:rsidDel="00000000" w:rsidP="00000000" w:rsidRDefault="00000000" w:rsidRPr="00000000" w14:paraId="0000001C">
      <w:pPr>
        <w:numPr>
          <w:ilvl w:val="2"/>
          <w:numId w:val="1"/>
        </w:numPr>
        <w:spacing w:line="276" w:lineRule="auto"/>
        <w:ind w:left="2160" w:hanging="360"/>
      </w:pPr>
      <w:r w:rsidDel="00000000" w:rsidR="00000000" w:rsidRPr="00000000">
        <w:rPr>
          <w:rtl w:val="0"/>
        </w:rPr>
        <w:t xml:space="preserve">Apartment building / skyscraper - see Index III</w:t>
      </w:r>
    </w:p>
    <w:p w:rsidR="00000000" w:rsidDel="00000000" w:rsidP="00000000" w:rsidRDefault="00000000" w:rsidRPr="00000000" w14:paraId="0000001D">
      <w:pPr>
        <w:numPr>
          <w:ilvl w:val="2"/>
          <w:numId w:val="1"/>
        </w:numPr>
        <w:spacing w:line="276" w:lineRule="auto"/>
        <w:ind w:left="2160" w:hanging="360"/>
      </w:pPr>
      <w:r w:rsidDel="00000000" w:rsidR="00000000" w:rsidRPr="00000000">
        <w:rPr>
          <w:rtl w:val="0"/>
        </w:rPr>
        <w:t xml:space="preserve">Public works project</w:t>
      </w:r>
    </w:p>
    <w:p w:rsidR="00000000" w:rsidDel="00000000" w:rsidP="00000000" w:rsidRDefault="00000000" w:rsidRPr="00000000" w14:paraId="0000001E">
      <w:pPr>
        <w:numPr>
          <w:ilvl w:val="2"/>
          <w:numId w:val="1"/>
        </w:numPr>
        <w:spacing w:line="276" w:lineRule="auto"/>
        <w:ind w:left="2160" w:hanging="360"/>
      </w:pPr>
      <w:r w:rsidDel="00000000" w:rsidR="00000000" w:rsidRPr="00000000">
        <w:rPr>
          <w:rtl w:val="0"/>
        </w:rPr>
        <w:t xml:space="preserve">Farm</w:t>
      </w:r>
    </w:p>
    <w:p w:rsidR="00000000" w:rsidDel="00000000" w:rsidP="00000000" w:rsidRDefault="00000000" w:rsidRPr="00000000" w14:paraId="0000001F">
      <w:pPr>
        <w:numPr>
          <w:ilvl w:val="2"/>
          <w:numId w:val="1"/>
        </w:numPr>
        <w:spacing w:line="276" w:lineRule="auto"/>
        <w:ind w:left="2160" w:hanging="360"/>
      </w:pPr>
      <w:r w:rsidDel="00000000" w:rsidR="00000000" w:rsidRPr="00000000">
        <w:rPr>
          <w:rtl w:val="0"/>
        </w:rPr>
        <w:t xml:space="preserve">Decorative</w:t>
      </w:r>
    </w:p>
    <w:p w:rsidR="00000000" w:rsidDel="00000000" w:rsidP="00000000" w:rsidRDefault="00000000" w:rsidRPr="00000000" w14:paraId="00000020">
      <w:pPr>
        <w:numPr>
          <w:ilvl w:val="2"/>
          <w:numId w:val="1"/>
        </w:numPr>
        <w:spacing w:line="276" w:lineRule="auto"/>
        <w:ind w:left="2160" w:hanging="360"/>
      </w:pPr>
      <w:r w:rsidDel="00000000" w:rsidR="00000000" w:rsidRPr="00000000">
        <w:rPr>
          <w:rtl w:val="0"/>
        </w:rPr>
        <w:t xml:space="preserve">Other</w:t>
      </w:r>
    </w:p>
    <w:p w:rsidR="00000000" w:rsidDel="00000000" w:rsidP="00000000" w:rsidRDefault="00000000" w:rsidRPr="00000000" w14:paraId="00000021">
      <w:pPr>
        <w:numPr>
          <w:ilvl w:val="1"/>
          <w:numId w:val="1"/>
        </w:numPr>
        <w:spacing w:line="276" w:lineRule="auto"/>
        <w:ind w:left="1440" w:hanging="360"/>
      </w:pPr>
      <w:r w:rsidDel="00000000" w:rsidR="00000000" w:rsidRPr="00000000">
        <w:rPr>
          <w:rtl w:val="0"/>
        </w:rPr>
        <w:t xml:space="preserve">Please supply any other information you may wish to share such as schematics, screenshots of the planned build, ect. This question is not always required to be answered and primarily applies to larger projects. </w:t>
      </w:r>
    </w:p>
    <w:p w:rsidR="00000000" w:rsidDel="00000000" w:rsidP="00000000" w:rsidRDefault="00000000" w:rsidRPr="00000000" w14:paraId="00000022">
      <w:pPr>
        <w:spacing w:line="276" w:lineRule="auto"/>
        <w:ind w:left="720" w:hanging="360"/>
        <w:rPr/>
      </w:pPr>
      <w:r w:rsidDel="00000000" w:rsidR="00000000" w:rsidRPr="00000000">
        <w:rPr>
          <w:rtl w:val="0"/>
        </w:rPr>
      </w:r>
    </w:p>
    <w:p w:rsidR="00000000" w:rsidDel="00000000" w:rsidP="00000000" w:rsidRDefault="00000000" w:rsidRPr="00000000" w14:paraId="00000023">
      <w:pPr>
        <w:numPr>
          <w:ilvl w:val="0"/>
          <w:numId w:val="4"/>
        </w:numPr>
        <w:spacing w:line="276" w:lineRule="auto"/>
        <w:ind w:left="720" w:hanging="360"/>
      </w:pPr>
      <w:r w:rsidDel="00000000" w:rsidR="00000000" w:rsidRPr="00000000">
        <w:rPr>
          <w:rtl w:val="0"/>
        </w:rPr>
        <w:t xml:space="preserve">If the applicant selects “shop” they will be immediately opted into the Shop Starter Fund and will be informed of its requirements. Additionally, both the Secretary of the Interior and the Secretary of the Treasury will be notified in the ticket.</w:t>
      </w:r>
    </w:p>
    <w:p w:rsidR="00000000" w:rsidDel="00000000" w:rsidP="00000000" w:rsidRDefault="00000000" w:rsidRPr="00000000" w14:paraId="00000024">
      <w:pPr>
        <w:spacing w:line="276" w:lineRule="auto"/>
        <w:ind w:left="720" w:hanging="360"/>
        <w:rPr/>
      </w:pPr>
      <w:r w:rsidDel="00000000" w:rsidR="00000000" w:rsidRPr="00000000">
        <w:rPr>
          <w:rtl w:val="0"/>
        </w:rPr>
      </w:r>
    </w:p>
    <w:p w:rsidR="00000000" w:rsidDel="00000000" w:rsidP="00000000" w:rsidRDefault="00000000" w:rsidRPr="00000000" w14:paraId="00000025">
      <w:pPr>
        <w:numPr>
          <w:ilvl w:val="0"/>
          <w:numId w:val="3"/>
        </w:numPr>
        <w:spacing w:line="276" w:lineRule="auto"/>
        <w:ind w:left="720" w:hanging="360"/>
      </w:pPr>
      <w:r w:rsidDel="00000000" w:rsidR="00000000" w:rsidRPr="00000000">
        <w:rPr>
          <w:rtl w:val="0"/>
        </w:rPr>
        <w:t xml:space="preserve">If the applicant selects “Apartment building / skyscraper,” they will be immediately directed to Article 4 Apartment Housing.</w:t>
      </w:r>
    </w:p>
    <w:p w:rsidR="00000000" w:rsidDel="00000000" w:rsidP="00000000" w:rsidRDefault="00000000" w:rsidRPr="00000000" w14:paraId="00000026">
      <w:pPr>
        <w:spacing w:line="276" w:lineRule="auto"/>
        <w:ind w:left="0" w:firstLine="0"/>
        <w:rPr>
          <w:rFonts w:ascii="Times New Roman" w:cs="Times New Roman" w:eastAsia="Times New Roman" w:hAnsi="Times New Roman"/>
          <w:b w:val="1"/>
          <w:bCs w:val="1"/>
          <w:sz w:val="64"/>
          <w:szCs w:val="64"/>
        </w:rPr>
      </w:pPr>
      <w:r w:rsidDel="00000000" w:rsidR="00000000" w:rsidRPr="00000000">
        <w:rPr>
          <w:rtl w:val="0"/>
        </w:rPr>
      </w:r>
    </w:p>
    <w:sectPr>
      <w:headerReference r:id="rId8" w:type="first"/>
      <w:footerReference r:id="rId9" w:type="firs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rPr/>
    </w:pPr>
    <w:r w:rsidDel="00000000" w:rsidR="00000000" w:rsidRPr="00000000">
      <w:rPr>
        <w:rtl w:val="0"/>
      </w:rPr>
      <w:t xml:space="preserve">This document, last compiled by </w:t>
    </w:r>
    <w:r w:rsidDel="00000000" w:rsidR="00000000" w:rsidRPr="00000000">
      <w:rPr>
        <w:b w:val="1"/>
        <w:bCs w:val="1"/>
        <w:rtl w:val="0"/>
      </w:rPr>
      <w:t xml:space="preserve">CreepilyCreep</w:t>
    </w:r>
    <w:r w:rsidDel="00000000" w:rsidR="00000000" w:rsidRPr="00000000">
      <w:rPr>
        <w:rtl w:val="0"/>
      </w:rPr>
      <w:t xml:space="preserve">, includes all legislation enacted and amended up to and including the </w:t>
    </w:r>
    <w:r w:rsidDel="00000000" w:rsidR="00000000" w:rsidRPr="00000000">
      <w:rPr>
        <w:b w:val="1"/>
        <w:bCs w:val="1"/>
        <w:rtl w:val="0"/>
      </w:rPr>
      <w:t xml:space="preserve">Archival Standards Act</w:t>
    </w:r>
    <w:r w:rsidDel="00000000" w:rsidR="00000000" w:rsidRPr="00000000">
      <w:rPr>
        <w:rtl w:val="0"/>
      </w:rPr>
      <w:t xml:space="preserve"> passed on </w:t>
    </w:r>
    <w:r w:rsidDel="00000000" w:rsidR="00000000" w:rsidRPr="00000000">
      <w:rPr>
        <w:b w:val="1"/>
        <w:bCs w:val="1"/>
        <w:rtl w:val="0"/>
      </w:rPr>
      <w:t xml:space="preserve">3rd January 2026</w:t>
    </w:r>
    <w:r w:rsidDel="00000000" w:rsidR="00000000" w:rsidRPr="00000000">
      <w:rPr>
        <w:rtl w:val="0"/>
      </w:rPr>
      <w:t xml:space="preserv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lef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3"/>
      <w:numFmt w:val="upperRoman"/>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2"/>
      <w:numFmt w:val="upperRoman"/>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tblPr>
      <w:tblStyleRowBandSize w:val="1"/>
      <w:tblStyleColBandSize w:val="1"/>
    </w:tblPr>
  </w:style>
  <w:style w:type="table" w:styleId="Table1">
    <w:basedOn w:val="TableNormal"/>
    <w:tblPr>
      <w:tblStyleRowBandSize w:val="1"/>
      <w:tblStyleColBandSize w:val="1"/>
    </w:tblPr>
  </w:style>
  <w:style w:type="table" w:styleId="Table1">
    <w:basedOn w:val="TableNormal"/>
    <w:tblPr>
      <w:tblStyleRowBandSize w:val="1"/>
      <w:tblStyleColBandSize w:val="1"/>
    </w:tblPr>
  </w:style>
  <w:style w:type="table" w:styleId="Table1">
    <w:basedOn w:val="TableNormal"/>
    <w:tblPr>
      <w:tblStyleRowBandSize w:val="1"/>
      <w:tblStyleColBandSize w:val="1"/>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50w9q5OnZ+DCtxZVbR7nQqVNObg==">CgMxLjAyDmguZWcyYW1ybzNzbXZkMg5oLnU2bmpjYWxhbW15MjgAciExSGI3WTMyVGZ6Y0Z2X1UtdlVud3dqZnZ0dy1raDJoSzQ=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