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trike w:val="1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trike w:val="1"/>
          <w:sz w:val="40"/>
          <w:szCs w:val="40"/>
        </w:rPr>
        <w:drawing>
          <wp:inline distB="0" distT="0" distL="0" distR="0">
            <wp:extent cx="3339938" cy="352259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9938" cy="35225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  <w:rtl w:val="0"/>
        </w:rPr>
        <w:t xml:space="preserve">THE REPUBLIC OF ICENIA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Garamond" w:cs="Garamond" w:eastAsia="Garamond" w:hAnsi="Garamond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28" w:lineRule="auto"/>
        <w:rPr>
          <w:b w:val="1"/>
          <w:bCs w:val="1"/>
          <w:sz w:val="72"/>
          <w:szCs w:val="7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center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rHeight w:val="2649.6000000000004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Garamond" w:cs="Garamond" w:eastAsia="Garamond" w:hAnsi="Garamond"/>
                <w:b w:val="1"/>
                <w:bCs w:val="1"/>
                <w:sz w:val="72"/>
                <w:szCs w:val="72"/>
              </w:rPr>
            </w:pPr>
            <w:r w:rsidDel="00000000" w:rsidR="00000000" w:rsidRPr="00000000">
              <w:rPr>
                <w:rFonts w:ascii="Garamond" w:cs="Garamond" w:eastAsia="Garamond" w:hAnsi="Garamond"/>
                <w:b w:val="1"/>
                <w:bCs w:val="1"/>
                <w:sz w:val="72"/>
                <w:szCs w:val="72"/>
                <w:rtl w:val="0"/>
              </w:rPr>
              <w:t xml:space="preserve">Namelayer Act</w:t>
            </w:r>
          </w:p>
        </w:tc>
      </w:tr>
    </w:tbl>
    <w:p w:rsidR="00000000" w:rsidDel="00000000" w:rsidP="00000000" w:rsidRDefault="00000000" w:rsidRPr="00000000" w14:paraId="00000008">
      <w:pPr>
        <w:spacing w:line="328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/>
      </w:pPr>
      <w:r w:rsidDel="00000000" w:rsidR="00000000" w:rsidRPr="00000000">
        <w:rPr>
          <w:rtl w:val="0"/>
        </w:rPr>
        <w:t xml:space="preserve">This document, last compiled by </w:t>
      </w:r>
      <w:r w:rsidDel="00000000" w:rsidR="00000000" w:rsidRPr="00000000">
        <w:rPr>
          <w:b w:val="1"/>
          <w:bCs w:val="1"/>
          <w:rtl w:val="0"/>
        </w:rPr>
        <w:t xml:space="preserve">CreepilyCreep</w:t>
      </w:r>
      <w:r w:rsidDel="00000000" w:rsidR="00000000" w:rsidRPr="00000000">
        <w:rPr>
          <w:rtl w:val="0"/>
        </w:rPr>
        <w:t xml:space="preserve">, </w:t>
      </w:r>
    </w:p>
    <w:p w:rsidR="00000000" w:rsidDel="00000000" w:rsidP="00000000" w:rsidRDefault="00000000" w:rsidRPr="00000000" w14:paraId="0000000C">
      <w:pPr>
        <w:jc w:val="center"/>
        <w:rPr/>
      </w:pPr>
      <w:r w:rsidDel="00000000" w:rsidR="00000000" w:rsidRPr="00000000">
        <w:rPr>
          <w:rtl w:val="0"/>
        </w:rPr>
        <w:t xml:space="preserve">includes all legislation enacted and amended </w:t>
      </w:r>
    </w:p>
    <w:p w:rsidR="00000000" w:rsidDel="00000000" w:rsidP="00000000" w:rsidRDefault="00000000" w:rsidRPr="00000000" w14:paraId="0000000D">
      <w:pPr>
        <w:jc w:val="center"/>
        <w:rPr/>
      </w:pPr>
      <w:r w:rsidDel="00000000" w:rsidR="00000000" w:rsidRPr="00000000">
        <w:rPr>
          <w:rtl w:val="0"/>
        </w:rPr>
        <w:t xml:space="preserve">up to and including the </w:t>
      </w:r>
      <w:r w:rsidDel="00000000" w:rsidR="00000000" w:rsidRPr="00000000">
        <w:rPr>
          <w:b w:val="1"/>
          <w:bCs w:val="1"/>
          <w:rtl w:val="0"/>
        </w:rPr>
        <w:t xml:space="preserve">Omnibus (January 2024) Bill (+ 18th Amendment)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rtl w:val="0"/>
        </w:rPr>
        <w:t xml:space="preserve">passed on </w:t>
      </w:r>
      <w:r w:rsidDel="00000000" w:rsidR="00000000" w:rsidRPr="00000000">
        <w:rPr>
          <w:b w:val="1"/>
          <w:bCs w:val="1"/>
          <w:rtl w:val="0"/>
        </w:rPr>
        <w:t xml:space="preserve">28th January 2024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center"/>
        <w:rPr>
          <w:sz w:val="32"/>
          <w:szCs w:val="32"/>
        </w:rPr>
      </w:pPr>
      <w:r w:rsidDel="00000000" w:rsidR="00000000" w:rsidRPr="00000000">
        <w:rPr>
          <w:b w:val="1"/>
          <w:bCs w:val="1"/>
          <w:sz w:val="42"/>
          <w:szCs w:val="42"/>
          <w:rtl w:val="0"/>
        </w:rPr>
        <w:t xml:space="preserve">Icenian Namelayer Act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bill will establish the Icenia namelayer groups, and what their purposes are. </w:t>
      </w:r>
    </w:p>
    <w:p w:rsidR="00000000" w:rsidDel="00000000" w:rsidP="00000000" w:rsidRDefault="00000000" w:rsidRPr="00000000" w14:paraId="00000012">
      <w:pPr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1: Citizen</w:t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namelayer groups are considered the basic groups each Icenian Citizen should be Member on: 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Icenia-Citizen </w:t>
      </w:r>
    </w:p>
    <w:p w:rsidR="00000000" w:rsidDel="00000000" w:rsidP="00000000" w:rsidRDefault="00000000" w:rsidRPr="00000000" w14:paraId="0000001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group functions as the in-game group chat for all Icenian Citizens, and as a reinforcement group for doors, pressure plates, and buttons that all citizens may access.</w:t>
      </w:r>
    </w:p>
    <w:p w:rsidR="00000000" w:rsidDel="00000000" w:rsidP="00000000" w:rsidRDefault="00000000" w:rsidRPr="00000000" w14:paraId="0000001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Icenia-Factories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public factories must be reinforced to this group. All doors, pressure plates, and buttons leading into a public factory room must also be reinforced to Icenia-Factories.</w:t>
      </w:r>
    </w:p>
    <w:p w:rsidR="00000000" w:rsidDel="00000000" w:rsidP="00000000" w:rsidRDefault="00000000" w:rsidRPr="00000000" w14:paraId="0000001F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Residents may be granted access to Icenia-Factories.</w:t>
      </w:r>
    </w:p>
    <w:p w:rsidR="00000000" w:rsidDel="00000000" w:rsidP="00000000" w:rsidRDefault="00000000" w:rsidRPr="00000000" w14:paraId="00000021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Icenia-Nether1</w:t>
      </w:r>
    </w:p>
    <w:p w:rsidR="00000000" w:rsidDel="00000000" w:rsidP="00000000" w:rsidRDefault="00000000" w:rsidRPr="00000000" w14:paraId="0000002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group will contain all the doors, pressure plates, and buttons that lead into the nether portal as well as areas in the nether itself. </w:t>
      </w:r>
    </w:p>
    <w:p w:rsidR="00000000" w:rsidDel="00000000" w:rsidP="00000000" w:rsidRDefault="00000000" w:rsidRPr="00000000" w14:paraId="00000025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Residents may be granted access to Icenia-Nether1.</w:t>
      </w:r>
    </w:p>
    <w:p w:rsidR="00000000" w:rsidDel="00000000" w:rsidP="00000000" w:rsidRDefault="00000000" w:rsidRPr="00000000" w14:paraId="0000002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Icenia-Farms</w:t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All public farms in Icenia must be reinforced to Icenia-Farms. </w:t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Residents may be granted access to Icenia-Farm</w:t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720" w:firstLine="0"/>
        <w:rPr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2: Infrastructure</w:t>
      </w:r>
    </w:p>
    <w:p w:rsidR="00000000" w:rsidDel="00000000" w:rsidP="00000000" w:rsidRDefault="00000000" w:rsidRPr="00000000" w14:paraId="0000003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groups will be used to reinforce various Icenian infrastructure such as rails and roads.</w:t>
      </w:r>
    </w:p>
    <w:p w:rsidR="00000000" w:rsidDel="00000000" w:rsidP="00000000" w:rsidRDefault="00000000" w:rsidRPr="00000000" w14:paraId="0000003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Icenia-Roads</w:t>
      </w:r>
    </w:p>
    <w:p w:rsidR="00000000" w:rsidDel="00000000" w:rsidP="00000000" w:rsidRDefault="00000000" w:rsidRPr="00000000" w14:paraId="0000003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firstLine="72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roads in the city of Icenia must be reinforced to Icenia-Roads. </w:t>
      </w:r>
    </w:p>
    <w:p w:rsidR="00000000" w:rsidDel="00000000" w:rsidP="00000000" w:rsidRDefault="00000000" w:rsidRPr="00000000" w14:paraId="00000037">
      <w:pPr>
        <w:ind w:firstLine="72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Icenia-Rail</w:t>
      </w:r>
    </w:p>
    <w:p w:rsidR="00000000" w:rsidDel="00000000" w:rsidP="00000000" w:rsidRDefault="00000000" w:rsidRPr="00000000" w14:paraId="0000003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All rails built by Icenia must be reinforced to this group. Additionally, any structures associated with the rails will also be reinforced to Icenia-Rail</w:t>
      </w:r>
    </w:p>
    <w:p w:rsidR="00000000" w:rsidDel="00000000" w:rsidP="00000000" w:rsidRDefault="00000000" w:rsidRPr="00000000" w14:paraId="0000003B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Icenia-Infra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Any other infrastructure not applicable to the two groups above should be reinforced to Icenia-Infra. Some examples include parks, public buildings, and walls.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ind w:left="720" w:firstLine="0"/>
        <w:rPr>
          <w:b w:val="1"/>
          <w:bCs w:val="1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Section 3: Defense</w:t>
      </w:r>
    </w:p>
    <w:p w:rsidR="00000000" w:rsidDel="00000000" w:rsidP="00000000" w:rsidRDefault="00000000" w:rsidRPr="00000000" w14:paraId="0000004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following namelayer groups pertain to the defense of Icenia.  The Minister of Defense manages who is allowed in these groups:</w:t>
      </w:r>
    </w:p>
    <w:p w:rsidR="00000000" w:rsidDel="00000000" w:rsidP="00000000" w:rsidRDefault="00000000" w:rsidRPr="00000000" w14:paraId="0000004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Icenia-Snitches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ind w:left="72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group serves as the main snitch group for Icenia. All border snitches will be reinforced to this group. </w:t>
      </w:r>
    </w:p>
    <w:p w:rsidR="00000000" w:rsidDel="00000000" w:rsidP="00000000" w:rsidRDefault="00000000" w:rsidRPr="00000000" w14:paraId="00000049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Icenia-City-Snitches</w:t>
      </w:r>
    </w:p>
    <w:p w:rsidR="00000000" w:rsidDel="00000000" w:rsidP="00000000" w:rsidRDefault="00000000" w:rsidRPr="00000000" w14:paraId="0000004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This group will host all of the jukebox snitches in Icenia City. 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Icenia-Defense</w:t>
      </w:r>
    </w:p>
    <w:p w:rsidR="00000000" w:rsidDel="00000000" w:rsidP="00000000" w:rsidRDefault="00000000" w:rsidRPr="00000000" w14:paraId="0000004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720" w:firstLine="0"/>
        <w:rPr>
          <w:rFonts w:ascii="Times New Roman" w:cs="Times New Roman" w:eastAsia="Times New Roman" w:hAnsi="Times New Roman"/>
          <w:b w:val="1"/>
          <w:bCs w:val="1"/>
          <w:sz w:val="64"/>
          <w:szCs w:val="64"/>
        </w:rPr>
      </w:pPr>
      <w:r w:rsidDel="00000000" w:rsidR="00000000" w:rsidRPr="00000000">
        <w:rPr>
          <w:sz w:val="24"/>
          <w:szCs w:val="24"/>
          <w:rtl w:val="0"/>
        </w:rPr>
        <w:t xml:space="preserve">All Icenian military personnel must be in this group. It will serve as the first level of access for Icenia defense bunkers and other infrastructure. </w:t>
      </w:r>
      <w:r w:rsidDel="00000000" w:rsidR="00000000" w:rsidRPr="00000000">
        <w:rPr>
          <w:rtl w:val="0"/>
        </w:rPr>
      </w:r>
    </w:p>
    <w:sectPr>
      <w:headerReference r:id="rId8" w:type="first"/>
      <w:footerReference r:id="rId9" w:type="firs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rPr/>
    </w:pPr>
    <w:r w:rsidDel="00000000" w:rsidR="00000000" w:rsidRPr="00000000">
      <w:rPr>
        <w:rtl w:val="0"/>
      </w:rPr>
      <w:t xml:space="preserve">This document, last compiled by </w:t>
    </w:r>
    <w:r w:rsidDel="00000000" w:rsidR="00000000" w:rsidRPr="00000000">
      <w:rPr>
        <w:b w:val="1"/>
        <w:bCs w:val="1"/>
        <w:rtl w:val="0"/>
      </w:rPr>
      <w:t xml:space="preserve">CreepilyCreep</w:t>
    </w:r>
    <w:r w:rsidDel="00000000" w:rsidR="00000000" w:rsidRPr="00000000">
      <w:rPr>
        <w:rtl w:val="0"/>
      </w:rPr>
      <w:t xml:space="preserve">, includes all legislation enacted and amended up to and including the </w:t>
    </w:r>
    <w:r w:rsidDel="00000000" w:rsidR="00000000" w:rsidRPr="00000000">
      <w:rPr>
        <w:b w:val="1"/>
        <w:bCs w:val="1"/>
        <w:rtl w:val="0"/>
      </w:rPr>
      <w:t xml:space="preserve">Archival Standards Act</w:t>
    </w:r>
    <w:r w:rsidDel="00000000" w:rsidR="00000000" w:rsidRPr="00000000">
      <w:rPr>
        <w:rtl w:val="0"/>
      </w:rPr>
      <w:t xml:space="preserve"> passed on </w:t>
    </w:r>
    <w:r w:rsidDel="00000000" w:rsidR="00000000" w:rsidRPr="00000000">
      <w:rPr>
        <w:b w:val="1"/>
        <w:bCs w:val="1"/>
        <w:rtl w:val="0"/>
      </w:rPr>
      <w:t xml:space="preserve">3rd January 2026</w:t>
    </w:r>
    <w:r w:rsidDel="00000000" w:rsidR="00000000" w:rsidRPr="00000000">
      <w:rPr>
        <w:rtl w:val="0"/>
      </w:rPr>
      <w:t xml:space="preserve">.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table" w:styleId="Table1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YXeDBgtWgXQqSLJ+xniDNcgyEdQ==">CgMxLjA4AHIhMWQ2NGkweGl2Y3Y4OUM3bjJieU1lQmVOaVJiMFJfQWNy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