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Powers of the Privy Council</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Privy Council Amendment</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9th December 2024</w:t>
      </w:r>
      <w:r w:rsidDel="00000000" w:rsidR="00000000" w:rsidRPr="00000000">
        <w:rPr>
          <w:rtl w:val="0"/>
        </w:rPr>
        <w:t xml:space="preserve">.</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pStyle w:val="Title"/>
        <w:spacing w:line="276" w:lineRule="auto"/>
        <w:jc w:val="center"/>
        <w:rPr/>
      </w:pPr>
      <w:bookmarkStart w:colFirst="0" w:colLast="0" w:name="_heading=h.omb7k8ohxkcn" w:id="0"/>
      <w:bookmarkEnd w:id="0"/>
      <w:r w:rsidDel="00000000" w:rsidR="00000000" w:rsidRPr="00000000">
        <w:rPr>
          <w:rtl w:val="0"/>
        </w:rPr>
        <w:t xml:space="preserve">Powers of the Privy Council</w:t>
      </w:r>
    </w:p>
    <w:p w:rsidR="00000000" w:rsidDel="00000000" w:rsidP="00000000" w:rsidRDefault="00000000" w:rsidRPr="00000000" w14:paraId="00000011">
      <w:pPr>
        <w:spacing w:line="276" w:lineRule="auto"/>
        <w:rPr/>
      </w:pPr>
      <w:r w:rsidDel="00000000" w:rsidR="00000000" w:rsidRPr="00000000">
        <w:rPr>
          <w:rtl w:val="0"/>
        </w:rPr>
        <w:t xml:space="preserve">This document is not a law, but is pretended as such as a means to publicly declare the agreed-upon powers of the Privy Council, as required by Article IV (h) (3) of the Constitution.</w:t>
      </w:r>
    </w:p>
    <w:p w:rsidR="00000000" w:rsidDel="00000000" w:rsidP="00000000" w:rsidRDefault="00000000" w:rsidRPr="00000000" w14:paraId="0000001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88" w:lineRule="auto"/>
        <w:rPr/>
      </w:pPr>
      <w:r w:rsidDel="00000000" w:rsidR="00000000" w:rsidRPr="00000000">
        <w:rPr>
          <w:rtl w:val="0"/>
        </w:rPr>
        <w:t xml:space="preserve">The Privy Council shall have the right to exercise any prerogative power unless limited or denied by the following:</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numPr>
          <w:ilvl w:val="0"/>
          <w:numId w:val="1"/>
        </w:numPr>
        <w:spacing w:line="276" w:lineRule="auto"/>
        <w:ind w:left="720" w:hanging="360"/>
      </w:pPr>
      <w:r w:rsidDel="00000000" w:rsidR="00000000" w:rsidRPr="00000000">
        <w:rPr>
          <w:rtl w:val="0"/>
        </w:rPr>
        <w:t xml:space="preserve">The Privy Council may only grant Presidential Assent to Senate Bills upon the expiration of a reasonable period (typically 24 hours) after a pinged request for Presidential Assent has gone unanswered by the President.</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numPr>
          <w:ilvl w:val="0"/>
          <w:numId w:val="1"/>
        </w:numPr>
        <w:spacing w:line="276" w:lineRule="auto"/>
        <w:ind w:left="720" w:hanging="360"/>
      </w:pPr>
      <w:r w:rsidDel="00000000" w:rsidR="00000000" w:rsidRPr="00000000">
        <w:rPr>
          <w:rtl w:val="0"/>
        </w:rPr>
        <w:t xml:space="preserve">The Privy Council cannot grant Presidential Assent to amendments to the Constitution. </w:t>
      </w:r>
      <w:r w:rsidDel="00000000" w:rsidR="00000000" w:rsidRPr="00000000">
        <w:rPr>
          <w:i w:val="1"/>
          <w:iCs w:val="1"/>
          <w:color w:val="666666"/>
          <w:rtl w:val="0"/>
        </w:rPr>
        <w:t xml:space="preserve">This will also deny the Privy Council from granting uses of prerogative powers to itself, or denying them from itself, under the “same restrictions” clause of Article IV (h) (2) (b) of the Constitution.</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3IzOcAgWa4TotlbVK0gTBtzpw==">CgMxLjAyDmgub21iN2s4b2h4a2NuOAByITFucDFfTjZMSmxrbVZicDdBbFMtNF9rdGFzd1F4TlEwLQ==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