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F59FE" w14:textId="77777777" w:rsidR="000143EA" w:rsidRDefault="000143EA">
      <w:pPr>
        <w:spacing w:line="240" w:lineRule="auto"/>
        <w:rPr>
          <w:rFonts w:ascii="Garamond" w:eastAsia="Garamond" w:hAnsi="Garamond" w:cs="Garamond"/>
          <w:b/>
          <w:bCs/>
          <w:i/>
          <w:iCs/>
          <w:sz w:val="40"/>
          <w:szCs w:val="40"/>
        </w:rPr>
      </w:pPr>
    </w:p>
    <w:p w14:paraId="5BDC35F8" w14:textId="77777777" w:rsidR="000143EA" w:rsidRDefault="00000000">
      <w:pPr>
        <w:spacing w:line="240" w:lineRule="auto"/>
        <w:jc w:val="center"/>
        <w:rPr>
          <w:rFonts w:ascii="Garamond" w:eastAsia="Garamond" w:hAnsi="Garamond" w:cs="Garamond"/>
          <w:b/>
          <w:bCs/>
          <w:i/>
          <w:iCs/>
          <w:strike/>
          <w:sz w:val="40"/>
          <w:szCs w:val="40"/>
        </w:rPr>
      </w:pPr>
      <w:r>
        <w:rPr>
          <w:rFonts w:ascii="Garamond" w:eastAsia="Garamond" w:hAnsi="Garamond" w:cs="Garamond"/>
          <w:b/>
          <w:bCs/>
          <w:i/>
          <w:iCs/>
          <w:strike/>
          <w:noProof/>
          <w:sz w:val="40"/>
          <w:szCs w:val="40"/>
        </w:rPr>
        <w:drawing>
          <wp:inline distT="0" distB="0" distL="0" distR="0" wp14:anchorId="49E76A4D" wp14:editId="4DE5FB64">
            <wp:extent cx="3339938" cy="352259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39938" cy="3522590"/>
                    </a:xfrm>
                    <a:prstGeom prst="rect">
                      <a:avLst/>
                    </a:prstGeom>
                    <a:ln/>
                  </pic:spPr>
                </pic:pic>
              </a:graphicData>
            </a:graphic>
          </wp:inline>
        </w:drawing>
      </w:r>
    </w:p>
    <w:p w14:paraId="2A0F5CFD" w14:textId="77777777" w:rsidR="000143EA" w:rsidRDefault="000143EA">
      <w:pPr>
        <w:spacing w:line="240" w:lineRule="auto"/>
        <w:jc w:val="center"/>
        <w:rPr>
          <w:rFonts w:ascii="Garamond" w:eastAsia="Garamond" w:hAnsi="Garamond" w:cs="Garamond"/>
          <w:b/>
          <w:bCs/>
          <w:i/>
          <w:iCs/>
          <w:sz w:val="40"/>
          <w:szCs w:val="40"/>
        </w:rPr>
      </w:pPr>
    </w:p>
    <w:p w14:paraId="77CA7520" w14:textId="77777777" w:rsidR="00784CF5" w:rsidRDefault="00000000" w:rsidP="00784CF5">
      <w:pPr>
        <w:spacing w:line="240" w:lineRule="auto"/>
        <w:jc w:val="center"/>
        <w:rPr>
          <w:rFonts w:ascii="Garamond" w:eastAsia="Garamond" w:hAnsi="Garamond" w:cs="Garamond"/>
          <w:b/>
          <w:bCs/>
          <w:i/>
          <w:iCs/>
          <w:sz w:val="40"/>
          <w:szCs w:val="40"/>
        </w:rPr>
      </w:pPr>
      <w:r>
        <w:rPr>
          <w:rFonts w:ascii="Garamond" w:eastAsia="Garamond" w:hAnsi="Garamond" w:cs="Garamond"/>
          <w:b/>
          <w:bCs/>
          <w:i/>
          <w:iCs/>
          <w:sz w:val="40"/>
          <w:szCs w:val="40"/>
        </w:rPr>
        <w:t>THE REPUBLIC OF ICENIA</w:t>
      </w:r>
    </w:p>
    <w:p w14:paraId="2CFC330E" w14:textId="77777777" w:rsidR="00784CF5" w:rsidRDefault="00784CF5" w:rsidP="00784CF5">
      <w:pPr>
        <w:spacing w:line="240" w:lineRule="auto"/>
        <w:jc w:val="center"/>
        <w:rPr>
          <w:rFonts w:ascii="Garamond" w:eastAsia="Garamond" w:hAnsi="Garamond" w:cs="Garamond"/>
          <w:b/>
          <w:bCs/>
          <w:i/>
          <w:iCs/>
          <w:sz w:val="40"/>
          <w:szCs w:val="40"/>
        </w:rPr>
      </w:pPr>
    </w:p>
    <w:p w14:paraId="623F5F40" w14:textId="77777777" w:rsidR="00784CF5" w:rsidRDefault="00784CF5" w:rsidP="00784CF5">
      <w:pPr>
        <w:jc w:val="center"/>
        <w:rPr>
          <w:rFonts w:ascii="Times New Roman" w:eastAsia="Times New Roman" w:hAnsi="Times New Roman" w:cs="Times New Roman"/>
          <w:b/>
          <w:bCs/>
          <w:sz w:val="24"/>
          <w:szCs w:val="24"/>
        </w:rPr>
      </w:pPr>
    </w:p>
    <w:tbl>
      <w:tblPr>
        <w:tblW w:w="9029" w:type="dxa"/>
        <w:jc w:val="center"/>
        <w:tblBorders>
          <w:top w:val="single" w:sz="18" w:space="0" w:color="000000"/>
          <w:bottom w:val="single" w:sz="18" w:space="0" w:color="000000"/>
        </w:tblBorders>
        <w:tblLayout w:type="fixed"/>
        <w:tblLook w:val="0600" w:firstRow="0" w:lastRow="0" w:firstColumn="0" w:lastColumn="0" w:noHBand="1" w:noVBand="1"/>
      </w:tblPr>
      <w:tblGrid>
        <w:gridCol w:w="9029"/>
      </w:tblGrid>
      <w:tr w:rsidR="00784CF5" w14:paraId="1596FFE2" w14:textId="77777777" w:rsidTr="00B26570">
        <w:trPr>
          <w:trHeight w:val="2649"/>
          <w:jc w:val="center"/>
        </w:trPr>
        <w:tc>
          <w:tcPr>
            <w:tcW w:w="9029" w:type="dxa"/>
            <w:tcBorders>
              <w:top w:val="single" w:sz="12" w:space="0" w:color="666666"/>
              <w:left w:val="single" w:sz="4" w:space="0" w:color="FFFFFF"/>
              <w:bottom w:val="single" w:sz="12" w:space="0" w:color="666666"/>
              <w:right w:val="single" w:sz="4" w:space="0" w:color="FFFFFF"/>
            </w:tcBorders>
            <w:shd w:val="clear" w:color="auto" w:fill="FFFFFF"/>
            <w:tcMar>
              <w:top w:w="100" w:type="dxa"/>
              <w:left w:w="100" w:type="dxa"/>
              <w:bottom w:w="100" w:type="dxa"/>
              <w:right w:w="100" w:type="dxa"/>
            </w:tcMar>
            <w:vAlign w:val="center"/>
          </w:tcPr>
          <w:p w14:paraId="3435F8D0" w14:textId="0C293B9B" w:rsidR="00784CF5" w:rsidRDefault="00784CF5" w:rsidP="00B26570">
            <w:pPr>
              <w:spacing w:line="240" w:lineRule="auto"/>
              <w:jc w:val="center"/>
              <w:rPr>
                <w:rFonts w:ascii="Garamond" w:eastAsia="Garamond" w:hAnsi="Garamond" w:cs="Garamond"/>
                <w:b/>
                <w:bCs/>
                <w:sz w:val="72"/>
                <w:szCs w:val="72"/>
              </w:rPr>
            </w:pPr>
            <w:r>
              <w:rPr>
                <w:rFonts w:ascii="Garamond" w:eastAsia="Garamond" w:hAnsi="Garamond" w:cs="Garamond"/>
                <w:b/>
                <w:bCs/>
                <w:sz w:val="72"/>
                <w:szCs w:val="72"/>
              </w:rPr>
              <w:t>Simple Sentences Act</w:t>
            </w:r>
          </w:p>
        </w:tc>
      </w:tr>
    </w:tbl>
    <w:p w14:paraId="5CE33D0B" w14:textId="77777777" w:rsidR="00784CF5" w:rsidRDefault="00784CF5" w:rsidP="00784CF5"/>
    <w:p w14:paraId="14A9B4D4" w14:textId="77777777" w:rsidR="00784CF5" w:rsidRDefault="00784CF5" w:rsidP="00784CF5">
      <w:pPr>
        <w:jc w:val="center"/>
      </w:pPr>
    </w:p>
    <w:p w14:paraId="4D8AD6B9" w14:textId="77777777" w:rsidR="00784CF5" w:rsidRDefault="00784CF5" w:rsidP="00784CF5">
      <w:pPr>
        <w:jc w:val="center"/>
      </w:pPr>
    </w:p>
    <w:p w14:paraId="15C20171" w14:textId="625C4967" w:rsidR="000143EA" w:rsidRDefault="00000000" w:rsidP="00784CF5">
      <w:pPr>
        <w:jc w:val="center"/>
      </w:pPr>
      <w:r>
        <w:t xml:space="preserve">This document, last compiled by </w:t>
      </w:r>
      <w:proofErr w:type="spellStart"/>
      <w:r>
        <w:rPr>
          <w:b/>
          <w:bCs/>
        </w:rPr>
        <w:t>CreepilyCreep</w:t>
      </w:r>
      <w:proofErr w:type="spellEnd"/>
      <w:r>
        <w:t xml:space="preserve">, </w:t>
      </w:r>
    </w:p>
    <w:p w14:paraId="4EBE0585" w14:textId="77777777" w:rsidR="000143EA" w:rsidRDefault="00000000" w:rsidP="00784CF5">
      <w:pPr>
        <w:jc w:val="center"/>
      </w:pPr>
      <w:r>
        <w:t xml:space="preserve">includes all legislation enacted and amended </w:t>
      </w:r>
    </w:p>
    <w:p w14:paraId="6AE6A55E" w14:textId="77777777" w:rsidR="000143EA" w:rsidRDefault="00000000" w:rsidP="00784CF5">
      <w:pPr>
        <w:jc w:val="center"/>
      </w:pPr>
      <w:r>
        <w:t xml:space="preserve">up to and including the </w:t>
      </w:r>
      <w:r>
        <w:rPr>
          <w:b/>
          <w:bCs/>
        </w:rPr>
        <w:t>LAST_AMENDMENT_NAME</w:t>
      </w:r>
      <w:r>
        <w:t xml:space="preserve"> </w:t>
      </w:r>
    </w:p>
    <w:p w14:paraId="2D62F020" w14:textId="77777777" w:rsidR="000143EA" w:rsidRDefault="00000000" w:rsidP="00784CF5">
      <w:pPr>
        <w:jc w:val="center"/>
      </w:pPr>
      <w:r>
        <w:t xml:space="preserve">passed on </w:t>
      </w:r>
      <w:proofErr w:type="spellStart"/>
      <w:r>
        <w:rPr>
          <w:b/>
          <w:bCs/>
        </w:rPr>
        <w:t>DAYth_MONTH_YEAR</w:t>
      </w:r>
      <w:proofErr w:type="spellEnd"/>
      <w:r>
        <w:t>.</w:t>
      </w:r>
      <w:r>
        <w:br w:type="page"/>
      </w:r>
    </w:p>
    <w:p w14:paraId="134F7F59" w14:textId="77777777" w:rsidR="00215125" w:rsidRPr="00215125" w:rsidRDefault="00215125" w:rsidP="00215125">
      <w:pPr>
        <w:numPr>
          <w:ilvl w:val="0"/>
          <w:numId w:val="1"/>
        </w:numPr>
        <w:spacing w:after="7" w:line="360" w:lineRule="auto"/>
        <w:contextualSpacing/>
        <w:rPr>
          <w:rFonts w:ascii="Georgia" w:eastAsia="Georgia" w:hAnsi="Georgia" w:cs="Georgia"/>
          <w:color w:val="000000"/>
          <w:kern w:val="2"/>
          <w:sz w:val="28"/>
          <w:lang w:val="en-US" w:eastAsia="en-US"/>
          <w14:ligatures w14:val="standardContextual"/>
        </w:rPr>
      </w:pPr>
      <w:r w:rsidRPr="00215125">
        <w:rPr>
          <w:rFonts w:ascii="Georgia" w:eastAsia="Georgia" w:hAnsi="Georgia" w:cs="Georgia"/>
          <w:color w:val="000000"/>
          <w:kern w:val="2"/>
          <w:sz w:val="28"/>
          <w:u w:val="single"/>
          <w:lang w:val="en-US" w:eastAsia="en-US"/>
          <w14:ligatures w14:val="standardContextual"/>
        </w:rPr>
        <w:lastRenderedPageBreak/>
        <w:t>Effectiveness of this Act</w:t>
      </w:r>
    </w:p>
    <w:p w14:paraId="6BD52F5A"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Sections 2-3 of this Act only have force:</w:t>
      </w:r>
    </w:p>
    <w:p w14:paraId="6C868E79" w14:textId="77777777" w:rsidR="00215125" w:rsidRPr="00215125" w:rsidRDefault="00215125" w:rsidP="00215125">
      <w:pPr>
        <w:numPr>
          <w:ilvl w:val="2"/>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When activated in terms of Subsection (2), or</w:t>
      </w:r>
    </w:p>
    <w:p w14:paraId="01149EB0" w14:textId="77777777" w:rsidR="00215125" w:rsidRPr="00215125" w:rsidRDefault="00215125" w:rsidP="00215125">
      <w:pPr>
        <w:numPr>
          <w:ilvl w:val="2"/>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During a State of War.</w:t>
      </w:r>
    </w:p>
    <w:p w14:paraId="0F187A9E"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 xml:space="preserve">The Senate may pass a standard motion activating this Act for a specified </w:t>
      </w:r>
      <w:proofErr w:type="gramStart"/>
      <w:r w:rsidRPr="00215125">
        <w:rPr>
          <w:rFonts w:ascii="Georgia" w:eastAsia="Georgia" w:hAnsi="Georgia" w:cs="Georgia"/>
          <w:color w:val="000000"/>
          <w:kern w:val="2"/>
          <w:sz w:val="28"/>
          <w:szCs w:val="28"/>
          <w:lang w:val="en-US" w:eastAsia="en-US"/>
          <w14:ligatures w14:val="standardContextual"/>
        </w:rPr>
        <w:t>period of time</w:t>
      </w:r>
      <w:proofErr w:type="gramEnd"/>
      <w:r w:rsidRPr="00215125">
        <w:rPr>
          <w:rFonts w:ascii="Georgia" w:eastAsia="Georgia" w:hAnsi="Georgia" w:cs="Georgia"/>
          <w:color w:val="000000"/>
          <w:kern w:val="2"/>
          <w:sz w:val="28"/>
          <w:szCs w:val="28"/>
          <w:lang w:val="en-US" w:eastAsia="en-US"/>
          <w14:ligatures w14:val="standardContextual"/>
        </w:rPr>
        <w:t xml:space="preserve"> not exceeding 14 days past the passage of the motion.</w:t>
      </w:r>
    </w:p>
    <w:p w14:paraId="3924A71D" w14:textId="77777777" w:rsidR="00215125" w:rsidRPr="00215125" w:rsidRDefault="00215125" w:rsidP="00215125">
      <w:pPr>
        <w:numPr>
          <w:ilvl w:val="2"/>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Such a motion should specify the reasoning for the Simple Sentences Act’s activation.</w:t>
      </w:r>
    </w:p>
    <w:p w14:paraId="4E2BCCDA" w14:textId="77777777" w:rsidR="00215125" w:rsidRPr="00215125" w:rsidRDefault="00215125" w:rsidP="00215125">
      <w:pPr>
        <w:numPr>
          <w:ilvl w:val="2"/>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Such a motion may be passed while the Simple Sentences Act is presently active, to extend its activation for longer.</w:t>
      </w:r>
    </w:p>
    <w:p w14:paraId="015EAA1B"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The Senate may, when the Simple Sentences Act is presently active or is scheduled to become active, pass a motion terminating its activation sooner than it otherwise would have been terminated.</w:t>
      </w:r>
    </w:p>
    <w:p w14:paraId="27B0784B" w14:textId="77777777" w:rsidR="00215125" w:rsidRPr="00215125" w:rsidRDefault="00215125" w:rsidP="00215125">
      <w:pPr>
        <w:spacing w:after="7"/>
        <w:rPr>
          <w:rFonts w:ascii="Georgia" w:eastAsia="Georgia" w:hAnsi="Georgia" w:cs="Georgia"/>
          <w:color w:val="000000"/>
          <w:kern w:val="2"/>
          <w:sz w:val="28"/>
          <w:szCs w:val="28"/>
          <w:lang w:val="en-US" w:eastAsia="en-US"/>
          <w14:ligatures w14:val="standardContextual"/>
        </w:rPr>
      </w:pPr>
    </w:p>
    <w:p w14:paraId="3803AEB6" w14:textId="77777777" w:rsidR="00215125" w:rsidRPr="00215125" w:rsidRDefault="00215125" w:rsidP="00215125">
      <w:pPr>
        <w:numPr>
          <w:ilvl w:val="0"/>
          <w:numId w:val="1"/>
        </w:numPr>
        <w:spacing w:after="7" w:line="360" w:lineRule="auto"/>
        <w:contextualSpacing/>
        <w:rPr>
          <w:rFonts w:ascii="Georgia" w:eastAsia="Georgia" w:hAnsi="Georgia" w:cs="Georgia"/>
          <w:color w:val="000000"/>
          <w:kern w:val="2"/>
          <w:sz w:val="28"/>
          <w:lang w:val="en-US" w:eastAsia="en-US"/>
          <w14:ligatures w14:val="standardContextual"/>
        </w:rPr>
      </w:pPr>
      <w:r w:rsidRPr="00215125">
        <w:rPr>
          <w:rFonts w:ascii="Georgia" w:eastAsia="Georgia" w:hAnsi="Georgia" w:cs="Georgia"/>
          <w:color w:val="000000"/>
          <w:kern w:val="2"/>
          <w:sz w:val="28"/>
          <w:u w:val="single"/>
          <w:lang w:val="en-US" w:eastAsia="en-US"/>
          <w14:ligatures w14:val="standardContextual"/>
        </w:rPr>
        <w:t>Sentencing Protocol</w:t>
      </w:r>
    </w:p>
    <w:p w14:paraId="00525CD1"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 xml:space="preserve">“Qualifying individuals”, for the purposes of this Section, refers to individuals lacking </w:t>
      </w:r>
      <w:proofErr w:type="spellStart"/>
      <w:r w:rsidRPr="00215125">
        <w:rPr>
          <w:rFonts w:ascii="Georgia" w:eastAsia="Georgia" w:hAnsi="Georgia" w:cs="Georgia"/>
          <w:color w:val="000000"/>
          <w:kern w:val="2"/>
          <w:sz w:val="28"/>
          <w:szCs w:val="28"/>
          <w:lang w:val="en-US" w:eastAsia="en-US"/>
          <w14:ligatures w14:val="standardContextual"/>
        </w:rPr>
        <w:t>Icenian</w:t>
      </w:r>
      <w:proofErr w:type="spellEnd"/>
      <w:r w:rsidRPr="00215125">
        <w:rPr>
          <w:rFonts w:ascii="Georgia" w:eastAsia="Georgia" w:hAnsi="Georgia" w:cs="Georgia"/>
          <w:color w:val="000000"/>
          <w:kern w:val="2"/>
          <w:sz w:val="28"/>
          <w:szCs w:val="28"/>
          <w:lang w:val="en-US" w:eastAsia="en-US"/>
          <w14:ligatures w14:val="standardContextual"/>
        </w:rPr>
        <w:t xml:space="preserve"> citizenship.</w:t>
      </w:r>
    </w:p>
    <w:p w14:paraId="72BF6DE1"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Qualifying individuals determined by the Government under a standard of probable cause or higher to have committed one of the offenses identified in Section 3 of this Act may be given the associated sentence specified in that Section for that offense, without trial.</w:t>
      </w:r>
    </w:p>
    <w:p w14:paraId="34E7342C"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 xml:space="preserve">Qualifying individuals sentenced in the manner envisioned in Subsection (2) retain the right to appeal their presumptive conviction or </w:t>
      </w:r>
      <w:proofErr w:type="gramStart"/>
      <w:r w:rsidRPr="00215125">
        <w:rPr>
          <w:rFonts w:ascii="Georgia" w:eastAsia="Georgia" w:hAnsi="Georgia" w:cs="Georgia"/>
          <w:color w:val="000000"/>
          <w:kern w:val="2"/>
          <w:sz w:val="28"/>
          <w:szCs w:val="28"/>
          <w:lang w:val="en-US" w:eastAsia="en-US"/>
          <w14:ligatures w14:val="standardContextual"/>
        </w:rPr>
        <w:t>sentence, and</w:t>
      </w:r>
      <w:proofErr w:type="gramEnd"/>
      <w:r w:rsidRPr="00215125">
        <w:rPr>
          <w:rFonts w:ascii="Georgia" w:eastAsia="Georgia" w:hAnsi="Georgia" w:cs="Georgia"/>
          <w:color w:val="000000"/>
          <w:kern w:val="2"/>
          <w:sz w:val="28"/>
          <w:szCs w:val="28"/>
          <w:lang w:val="en-US" w:eastAsia="en-US"/>
          <w14:ligatures w14:val="standardContextual"/>
        </w:rPr>
        <w:t xml:space="preserve"> must be informed of this right.</w:t>
      </w:r>
    </w:p>
    <w:p w14:paraId="24C93F59"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The Government retains the option, in cases where Subsection (2) is applicable, to proceed to criminal trial rather than apply that Subsection should it choose to.</w:t>
      </w:r>
    </w:p>
    <w:p w14:paraId="578FF81F"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No part of this Section should be construed to alter or augment the standards for exercise of the power to arrest.</w:t>
      </w:r>
    </w:p>
    <w:p w14:paraId="492E9F58" w14:textId="77777777" w:rsidR="00215125" w:rsidRPr="00215125" w:rsidRDefault="00215125" w:rsidP="00215125">
      <w:pPr>
        <w:spacing w:after="7"/>
        <w:ind w:left="1933" w:hanging="10"/>
        <w:rPr>
          <w:rFonts w:ascii="Georgia" w:eastAsia="Georgia" w:hAnsi="Georgia" w:cs="Georgia"/>
          <w:color w:val="000000"/>
          <w:kern w:val="2"/>
          <w:sz w:val="28"/>
          <w:szCs w:val="28"/>
          <w:lang w:val="en-US" w:eastAsia="en-US"/>
          <w14:ligatures w14:val="standardContextual"/>
        </w:rPr>
      </w:pPr>
    </w:p>
    <w:p w14:paraId="1CA3C3E5" w14:textId="77777777" w:rsidR="00215125" w:rsidRPr="00215125" w:rsidRDefault="00215125" w:rsidP="00215125">
      <w:pPr>
        <w:numPr>
          <w:ilvl w:val="0"/>
          <w:numId w:val="1"/>
        </w:numPr>
        <w:spacing w:after="7" w:line="360" w:lineRule="auto"/>
        <w:contextualSpacing/>
        <w:rPr>
          <w:rFonts w:ascii="Georgia" w:eastAsia="Georgia" w:hAnsi="Georgia" w:cs="Georgia"/>
          <w:color w:val="000000"/>
          <w:kern w:val="2"/>
          <w:sz w:val="28"/>
          <w:lang w:val="en-US" w:eastAsia="en-US"/>
          <w14:ligatures w14:val="standardContextual"/>
        </w:rPr>
      </w:pPr>
      <w:r w:rsidRPr="00215125">
        <w:rPr>
          <w:rFonts w:ascii="Georgia" w:eastAsia="Georgia" w:hAnsi="Georgia" w:cs="Georgia"/>
          <w:color w:val="000000"/>
          <w:kern w:val="2"/>
          <w:sz w:val="28"/>
          <w:u w:val="single"/>
          <w:lang w:val="en-US" w:eastAsia="en-US"/>
          <w14:ligatures w14:val="standardContextual"/>
        </w:rPr>
        <w:t>Sentences</w:t>
      </w:r>
    </w:p>
    <w:p w14:paraId="519EE243"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lastRenderedPageBreak/>
        <w:t>Petty raiding or attempted petty raiding lacking clear malice carries a sentence of 24’ hours pearl time.</w:t>
      </w:r>
    </w:p>
    <w:p w14:paraId="575AF569"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 xml:space="preserve">Petty </w:t>
      </w:r>
      <w:proofErr w:type="gramStart"/>
      <w:r w:rsidRPr="00215125">
        <w:rPr>
          <w:rFonts w:ascii="Georgia" w:eastAsia="Georgia" w:hAnsi="Georgia" w:cs="Georgia"/>
          <w:color w:val="000000"/>
          <w:kern w:val="2"/>
          <w:sz w:val="28"/>
          <w:szCs w:val="28"/>
          <w:lang w:val="en-US" w:eastAsia="en-US"/>
          <w14:ligatures w14:val="standardContextual"/>
        </w:rPr>
        <w:t>raiding lacking</w:t>
      </w:r>
      <w:proofErr w:type="gramEnd"/>
      <w:r w:rsidRPr="00215125">
        <w:rPr>
          <w:rFonts w:ascii="Georgia" w:eastAsia="Georgia" w:hAnsi="Georgia" w:cs="Georgia"/>
          <w:color w:val="000000"/>
          <w:kern w:val="2"/>
          <w:sz w:val="28"/>
          <w:szCs w:val="28"/>
          <w:lang w:val="en-US" w:eastAsia="en-US"/>
          <w14:ligatures w14:val="standardContextual"/>
        </w:rPr>
        <w:t xml:space="preserve"> clear malice but incurring losses exceeding a market value of 64 diamonds carries a sentence of 48 hours’ pearl time, optionally including reparations not exceeding the value of the losses.</w:t>
      </w:r>
    </w:p>
    <w:p w14:paraId="5785AB83"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 xml:space="preserve">Petty </w:t>
      </w:r>
      <w:proofErr w:type="spellStart"/>
      <w:r w:rsidRPr="00215125">
        <w:rPr>
          <w:rFonts w:ascii="Georgia" w:eastAsia="Georgia" w:hAnsi="Georgia" w:cs="Georgia"/>
          <w:color w:val="000000"/>
          <w:kern w:val="2"/>
          <w:sz w:val="28"/>
          <w:szCs w:val="28"/>
          <w:lang w:val="en-US" w:eastAsia="en-US"/>
          <w14:ligatures w14:val="standardContextual"/>
        </w:rPr>
        <w:t>griefing</w:t>
      </w:r>
      <w:proofErr w:type="spellEnd"/>
      <w:r w:rsidRPr="00215125">
        <w:rPr>
          <w:rFonts w:ascii="Georgia" w:eastAsia="Georgia" w:hAnsi="Georgia" w:cs="Georgia"/>
          <w:color w:val="000000"/>
          <w:kern w:val="2"/>
          <w:sz w:val="28"/>
          <w:szCs w:val="28"/>
          <w:lang w:val="en-US" w:eastAsia="en-US"/>
          <w14:ligatures w14:val="standardContextual"/>
        </w:rPr>
        <w:t xml:space="preserve"> or defacement or attempted petty </w:t>
      </w:r>
      <w:proofErr w:type="spellStart"/>
      <w:r w:rsidRPr="00215125">
        <w:rPr>
          <w:rFonts w:ascii="Georgia" w:eastAsia="Georgia" w:hAnsi="Georgia" w:cs="Georgia"/>
          <w:color w:val="000000"/>
          <w:kern w:val="2"/>
          <w:sz w:val="28"/>
          <w:szCs w:val="28"/>
          <w:lang w:val="en-US" w:eastAsia="en-US"/>
          <w14:ligatures w14:val="standardContextual"/>
        </w:rPr>
        <w:t>griefing</w:t>
      </w:r>
      <w:proofErr w:type="spellEnd"/>
      <w:r w:rsidRPr="00215125">
        <w:rPr>
          <w:rFonts w:ascii="Georgia" w:eastAsia="Georgia" w:hAnsi="Georgia" w:cs="Georgia"/>
          <w:color w:val="000000"/>
          <w:kern w:val="2"/>
          <w:sz w:val="28"/>
          <w:szCs w:val="28"/>
          <w:lang w:val="en-US" w:eastAsia="en-US"/>
          <w14:ligatures w14:val="standardContextual"/>
        </w:rPr>
        <w:t xml:space="preserve"> or defacement lacking clear malice carries a sentence of 24 hours’ pearl time.</w:t>
      </w:r>
    </w:p>
    <w:p w14:paraId="3E11AFC9"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 xml:space="preserve">Deliberately damaging bastions after being told not to </w:t>
      </w:r>
      <w:proofErr w:type="gramStart"/>
      <w:r w:rsidRPr="00215125">
        <w:rPr>
          <w:rFonts w:ascii="Georgia" w:eastAsia="Georgia" w:hAnsi="Georgia" w:cs="Georgia"/>
          <w:color w:val="000000"/>
          <w:kern w:val="2"/>
          <w:sz w:val="28"/>
          <w:szCs w:val="28"/>
          <w:lang w:val="en-US" w:eastAsia="en-US"/>
          <w14:ligatures w14:val="standardContextual"/>
        </w:rPr>
        <w:t>carries</w:t>
      </w:r>
      <w:proofErr w:type="gramEnd"/>
      <w:r w:rsidRPr="00215125">
        <w:rPr>
          <w:rFonts w:ascii="Georgia" w:eastAsia="Georgia" w:hAnsi="Georgia" w:cs="Georgia"/>
          <w:color w:val="000000"/>
          <w:kern w:val="2"/>
          <w:sz w:val="28"/>
          <w:szCs w:val="28"/>
          <w:lang w:val="en-US" w:eastAsia="en-US"/>
          <w14:ligatures w14:val="standardContextual"/>
        </w:rPr>
        <w:t xml:space="preserve"> a sentence of 48 </w:t>
      </w:r>
      <w:proofErr w:type="gramStart"/>
      <w:r w:rsidRPr="00215125">
        <w:rPr>
          <w:rFonts w:ascii="Georgia" w:eastAsia="Georgia" w:hAnsi="Georgia" w:cs="Georgia"/>
          <w:color w:val="000000"/>
          <w:kern w:val="2"/>
          <w:sz w:val="28"/>
          <w:szCs w:val="28"/>
          <w:lang w:val="en-US" w:eastAsia="en-US"/>
          <w14:ligatures w14:val="standardContextual"/>
        </w:rPr>
        <w:t>hours’</w:t>
      </w:r>
      <w:proofErr w:type="gramEnd"/>
      <w:r w:rsidRPr="00215125">
        <w:rPr>
          <w:rFonts w:ascii="Georgia" w:eastAsia="Georgia" w:hAnsi="Georgia" w:cs="Georgia"/>
          <w:color w:val="000000"/>
          <w:kern w:val="2"/>
          <w:sz w:val="28"/>
          <w:szCs w:val="28"/>
          <w:lang w:val="en-US" w:eastAsia="en-US"/>
          <w14:ligatures w14:val="standardContextual"/>
        </w:rPr>
        <w:t xml:space="preserve"> pearl time.</w:t>
      </w:r>
    </w:p>
    <w:p w14:paraId="47917AC6"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 xml:space="preserve">Entrapping oneself in </w:t>
      </w:r>
      <w:proofErr w:type="spellStart"/>
      <w:r w:rsidRPr="00215125">
        <w:rPr>
          <w:rFonts w:ascii="Georgia" w:eastAsia="Georgia" w:hAnsi="Georgia" w:cs="Georgia"/>
          <w:color w:val="000000"/>
          <w:kern w:val="2"/>
          <w:sz w:val="28"/>
          <w:szCs w:val="28"/>
          <w:lang w:val="en-US" w:eastAsia="en-US"/>
          <w14:ligatures w14:val="standardContextual"/>
        </w:rPr>
        <w:t>Icenian</w:t>
      </w:r>
      <w:proofErr w:type="spellEnd"/>
      <w:r w:rsidRPr="00215125">
        <w:rPr>
          <w:rFonts w:ascii="Georgia" w:eastAsia="Georgia" w:hAnsi="Georgia" w:cs="Georgia"/>
          <w:color w:val="000000"/>
          <w:kern w:val="2"/>
          <w:sz w:val="28"/>
          <w:szCs w:val="28"/>
          <w:lang w:val="en-US" w:eastAsia="en-US"/>
          <w14:ligatures w14:val="standardContextual"/>
        </w:rPr>
        <w:t xml:space="preserve"> military infrastructure carries a sentence of 24 hours’ pearl time.</w:t>
      </w:r>
    </w:p>
    <w:p w14:paraId="331FE615"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 xml:space="preserve">Damaging or attempting to damage </w:t>
      </w:r>
      <w:proofErr w:type="spellStart"/>
      <w:r w:rsidRPr="00215125">
        <w:rPr>
          <w:rFonts w:ascii="Georgia" w:eastAsia="Georgia" w:hAnsi="Georgia" w:cs="Georgia"/>
          <w:color w:val="000000"/>
          <w:kern w:val="2"/>
          <w:sz w:val="28"/>
          <w:szCs w:val="28"/>
          <w:lang w:val="en-US" w:eastAsia="en-US"/>
          <w14:ligatures w14:val="standardContextual"/>
        </w:rPr>
        <w:t>Icenian</w:t>
      </w:r>
      <w:proofErr w:type="spellEnd"/>
      <w:r w:rsidRPr="00215125">
        <w:rPr>
          <w:rFonts w:ascii="Georgia" w:eastAsia="Georgia" w:hAnsi="Georgia" w:cs="Georgia"/>
          <w:color w:val="000000"/>
          <w:kern w:val="2"/>
          <w:sz w:val="28"/>
          <w:szCs w:val="28"/>
          <w:lang w:val="en-US" w:eastAsia="en-US"/>
          <w14:ligatures w14:val="standardContextual"/>
        </w:rPr>
        <w:t xml:space="preserve"> military infrastructure carries a sentence of 72 hours’ pearl time, optionally including reparations not exceeding a market value of 64 diamonds.</w:t>
      </w:r>
    </w:p>
    <w:p w14:paraId="69CA7989"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Attacking another individual without using military-grade equipment carries a sentence of 72 hours’ pearl time.</w:t>
      </w:r>
    </w:p>
    <w:p w14:paraId="17A568AB" w14:textId="77777777" w:rsidR="00215125" w:rsidRPr="00215125" w:rsidRDefault="00215125" w:rsidP="00215125">
      <w:pPr>
        <w:numPr>
          <w:ilvl w:val="1"/>
          <w:numId w:val="1"/>
        </w:numPr>
        <w:spacing w:after="7" w:line="268" w:lineRule="auto"/>
        <w:contextualSpacing/>
        <w:rPr>
          <w:rFonts w:ascii="Georgia" w:eastAsia="Georgia" w:hAnsi="Georgia" w:cs="Georgia"/>
          <w:color w:val="000000"/>
          <w:kern w:val="2"/>
          <w:sz w:val="28"/>
          <w:szCs w:val="28"/>
          <w:lang w:val="en-US" w:eastAsia="en-US"/>
          <w14:ligatures w14:val="standardContextual"/>
        </w:rPr>
      </w:pPr>
      <w:r w:rsidRPr="00215125">
        <w:rPr>
          <w:rFonts w:ascii="Georgia" w:eastAsia="Georgia" w:hAnsi="Georgia" w:cs="Georgia"/>
          <w:color w:val="000000"/>
          <w:kern w:val="2"/>
          <w:sz w:val="28"/>
          <w:szCs w:val="28"/>
          <w:lang w:val="en-US" w:eastAsia="en-US"/>
          <w14:ligatures w14:val="standardContextual"/>
        </w:rPr>
        <w:t>Commission of multiple offenses listed above carries the sum of the sentences for those listed offenses. If multiple offenses listed under the same Subsection are committed, those offenses are not considered separately and may not be summed.</w:t>
      </w:r>
    </w:p>
    <w:p w14:paraId="47A2C188" w14:textId="77777777" w:rsidR="000143EA" w:rsidRPr="00215125" w:rsidRDefault="000143EA">
      <w:pPr>
        <w:rPr>
          <w:rFonts w:ascii="Times New Roman" w:eastAsia="Times New Roman" w:hAnsi="Times New Roman" w:cs="Times New Roman"/>
          <w:b/>
          <w:bCs/>
          <w:sz w:val="64"/>
          <w:szCs w:val="64"/>
          <w:lang w:val="en-US"/>
        </w:rPr>
      </w:pPr>
    </w:p>
    <w:sectPr w:rsidR="000143EA" w:rsidRPr="00215125">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4CA46" w14:textId="77777777" w:rsidR="000B2830" w:rsidRDefault="000B2830">
      <w:pPr>
        <w:spacing w:line="240" w:lineRule="auto"/>
      </w:pPr>
      <w:r>
        <w:separator/>
      </w:r>
    </w:p>
  </w:endnote>
  <w:endnote w:type="continuationSeparator" w:id="0">
    <w:p w14:paraId="39FC490C" w14:textId="77777777" w:rsidR="000B2830" w:rsidRDefault="000B28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FF2110F3-6F21-48F1-9972-61674EAA97D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2" w:fontKey="{0BBB1A8E-EA94-4FE7-8CFE-2D74083E5A02}"/>
    <w:embedBoldItalic r:id="rId3" w:fontKey="{6D1C76E6-6527-41F4-83AA-3DF28DF71373}"/>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4" w:fontKey="{6C4775EE-58FA-4E97-817B-ACE019183A2A}"/>
  </w:font>
  <w:font w:name="Cambria">
    <w:panose1 w:val="02040503050406030204"/>
    <w:charset w:val="00"/>
    <w:family w:val="roman"/>
    <w:pitch w:val="variable"/>
    <w:sig w:usb0="E00006FF" w:usb1="420024FF" w:usb2="02000000" w:usb3="00000000" w:csb0="0000019F" w:csb1="00000000"/>
    <w:embedRegular r:id="rId5" w:fontKey="{237F9882-2A02-40B4-8422-770F45FB2D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4BCE" w14:textId="77777777" w:rsidR="000143EA" w:rsidRDefault="000143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E73C0" w14:textId="77777777" w:rsidR="000B2830" w:rsidRDefault="000B2830">
      <w:pPr>
        <w:spacing w:line="240" w:lineRule="auto"/>
      </w:pPr>
      <w:r>
        <w:separator/>
      </w:r>
    </w:p>
  </w:footnote>
  <w:footnote w:type="continuationSeparator" w:id="0">
    <w:p w14:paraId="6CAE903B" w14:textId="77777777" w:rsidR="000B2830" w:rsidRDefault="000B28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06C0" w14:textId="77777777" w:rsidR="000143EA" w:rsidRDefault="00000000">
    <w:r>
      <w:t xml:space="preserve">This document, last compiled by </w:t>
    </w:r>
    <w:r>
      <w:rPr>
        <w:b/>
        <w:bCs/>
      </w:rPr>
      <w:t>CreepilyCreep</w:t>
    </w:r>
    <w:r>
      <w:t xml:space="preserve">, includes all legislation enacted and amended up to and including the </w:t>
    </w:r>
    <w:r>
      <w:rPr>
        <w:b/>
        <w:bCs/>
      </w:rPr>
      <w:t>Archival Standards Act</w:t>
    </w:r>
    <w:r>
      <w:t xml:space="preserve"> passed on </w:t>
    </w:r>
    <w:r>
      <w:rPr>
        <w:b/>
        <w:bCs/>
      </w:rPr>
      <w:t>3rd January 2026</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44ADC"/>
    <w:multiLevelType w:val="multilevel"/>
    <w:tmpl w:val="00201864"/>
    <w:lvl w:ilvl="0">
      <w:start w:val="1"/>
      <w:numFmt w:val="decimal"/>
      <w:lvlText w:val="%1."/>
      <w:lvlJc w:val="left"/>
      <w:pPr>
        <w:ind w:left="936" w:hanging="936"/>
      </w:pPr>
      <w:rPr>
        <w:rFonts w:ascii="Georgia" w:hAnsi="Georgia" w:hint="default"/>
      </w:rPr>
    </w:lvl>
    <w:lvl w:ilvl="1">
      <w:start w:val="1"/>
      <w:numFmt w:val="decimal"/>
      <w:lvlText w:val="(%2)"/>
      <w:lvlJc w:val="left"/>
      <w:pPr>
        <w:ind w:left="2088" w:hanging="1080"/>
      </w:pPr>
      <w:rPr>
        <w:rFonts w:ascii="Georgia" w:hAnsi="Georgia" w:hint="default"/>
        <w:i w:val="0"/>
        <w:iCs w:val="0"/>
        <w:sz w:val="28"/>
        <w:szCs w:val="28"/>
      </w:rPr>
    </w:lvl>
    <w:lvl w:ilvl="2">
      <w:start w:val="1"/>
      <w:numFmt w:val="lowerLetter"/>
      <w:lvlText w:val="(%3)"/>
      <w:lvlJc w:val="left"/>
      <w:pPr>
        <w:ind w:left="3096" w:hanging="1080"/>
      </w:pPr>
      <w:rPr>
        <w:rFonts w:ascii="Georgia" w:hAnsi="Georgia" w:hint="default"/>
      </w:rPr>
    </w:lvl>
    <w:lvl w:ilvl="3">
      <w:start w:val="1"/>
      <w:numFmt w:val="lowerRoman"/>
      <w:lvlText w:val="(%4)"/>
      <w:lvlJc w:val="left"/>
      <w:pPr>
        <w:ind w:left="4104" w:hanging="1080"/>
      </w:pPr>
      <w:rPr>
        <w:rFonts w:ascii="Georgia" w:hAnsi="Georgia" w:hint="default"/>
      </w:rPr>
    </w:lvl>
    <w:lvl w:ilvl="4">
      <w:start w:val="1"/>
      <w:numFmt w:val="lowerLetter"/>
      <w:lvlText w:val="(%5)"/>
      <w:lvlJc w:val="left"/>
      <w:pPr>
        <w:ind w:left="5112" w:hanging="1080"/>
      </w:pPr>
      <w:rPr>
        <w:rFonts w:ascii="Georgia" w:hAnsi="Georgia" w:hint="default"/>
      </w:rPr>
    </w:lvl>
    <w:lvl w:ilvl="5">
      <w:start w:val="1"/>
      <w:numFmt w:val="lowerRoman"/>
      <w:lvlText w:val="(%6)"/>
      <w:lvlJc w:val="left"/>
      <w:pPr>
        <w:ind w:left="6120" w:hanging="1080"/>
      </w:pPr>
    </w:lvl>
    <w:lvl w:ilvl="6">
      <w:start w:val="1"/>
      <w:numFmt w:val="decimal"/>
      <w:lvlText w:val="%7."/>
      <w:lvlJc w:val="left"/>
      <w:pPr>
        <w:ind w:left="7128" w:hanging="1080"/>
      </w:pPr>
    </w:lvl>
    <w:lvl w:ilvl="7">
      <w:start w:val="1"/>
      <w:numFmt w:val="lowerLetter"/>
      <w:lvlText w:val="%8."/>
      <w:lvlJc w:val="left"/>
      <w:pPr>
        <w:ind w:left="8136" w:hanging="1080"/>
      </w:pPr>
    </w:lvl>
    <w:lvl w:ilvl="8">
      <w:start w:val="1"/>
      <w:numFmt w:val="decimal"/>
      <w:lvlRestart w:val="0"/>
      <w:lvlText w:val="(G: %9)"/>
      <w:lvlJc w:val="left"/>
      <w:pPr>
        <w:ind w:left="864" w:hanging="1224"/>
      </w:pPr>
      <w:rPr>
        <w:rFonts w:ascii="Georgia" w:hAnsi="Georgia" w:hint="default"/>
      </w:rPr>
    </w:lvl>
  </w:abstractNum>
  <w:num w:numId="1" w16cid:durableId="1247386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3EA"/>
    <w:rsid w:val="000143EA"/>
    <w:rsid w:val="00076CF3"/>
    <w:rsid w:val="000B2830"/>
    <w:rsid w:val="00215125"/>
    <w:rsid w:val="006C0228"/>
    <w:rsid w:val="00784CF5"/>
    <w:rsid w:val="00B35C26"/>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4292B"/>
  <w15:docId w15:val="{B7DF15D5-5932-4E1A-A89E-7D1E8AF0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a">
    <w:basedOn w:val="TableNormal9"/>
    <w:tblPr>
      <w:tblStyleRowBandSize w:val="1"/>
      <w:tblStyleColBandSize w:val="1"/>
    </w:tblPr>
  </w:style>
  <w:style w:type="table" w:customStyle="1" w:styleId="a0">
    <w:basedOn w:val="TableNormal9"/>
    <w:tblPr>
      <w:tblStyleRowBandSize w:val="1"/>
      <w:tblStyleColBandSize w:val="1"/>
    </w:tblPr>
  </w:style>
  <w:style w:type="table" w:customStyle="1" w:styleId="a1">
    <w:basedOn w:val="TableNormal9"/>
    <w:tblPr>
      <w:tblStyleRowBandSize w:val="1"/>
      <w:tblStyleColBandSize w:val="1"/>
    </w:tblPr>
  </w:style>
  <w:style w:type="table" w:customStyle="1" w:styleId="a2">
    <w:basedOn w:val="TableNormal9"/>
    <w:tblPr>
      <w:tblStyleRowBandSize w:val="1"/>
      <w:tblStyleColBandSize w:val="1"/>
    </w:tblPr>
  </w:style>
  <w:style w:type="table" w:customStyle="1" w:styleId="a3">
    <w:basedOn w:val="TableNormal9"/>
    <w:tblPr>
      <w:tblStyleRowBandSize w:val="1"/>
      <w:tblStyleColBandSize w:val="1"/>
    </w:tblPr>
  </w:style>
  <w:style w:type="character" w:styleId="PlaceholderText">
    <w:name w:val="Placeholder Text"/>
    <w:basedOn w:val="DefaultParagraphFont"/>
    <w:uiPriority w:val="99"/>
    <w:semiHidden/>
    <w:rsid w:val="007D452B"/>
    <w:rPr>
      <w:color w:val="666666"/>
    </w:r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6JiDsjaEY/MiRnI8A9fMXcIRtg==">CgMxLjA4AHIhMUFib2pxX1FURVZkRk9kWmFCX0N5c0N0TmRSWjFVelNz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LEUNG Hei Tzit Samuel</cp:lastModifiedBy>
  <cp:revision>3</cp:revision>
  <dcterms:created xsi:type="dcterms:W3CDTF">2026-01-07T07:48:00Z</dcterms:created>
  <dcterms:modified xsi:type="dcterms:W3CDTF">2026-01-15T17:26:00Z</dcterms:modified>
</cp:coreProperties>
</file>