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02">
      <w:pPr>
        <w:spacing w:line="240" w:lineRule="auto"/>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03">
      <w:pPr>
        <w:spacing w:line="240" w:lineRule="auto"/>
        <w:jc w:val="center"/>
        <w:rPr>
          <w:rFonts w:ascii="Garamond" w:cs="Garamond" w:eastAsia="Garamond" w:hAnsi="Garamond"/>
          <w:b w:val="1"/>
          <w:bCs w:val="1"/>
          <w:i w:val="1"/>
          <w:iCs w:val="1"/>
          <w:strike w:val="1"/>
          <w:sz w:val="40"/>
          <w:szCs w:val="40"/>
        </w:rPr>
      </w:pPr>
      <w:r w:rsidDel="00000000" w:rsidR="00000000" w:rsidRPr="00000000">
        <w:rPr>
          <w:rFonts w:ascii="Garamond" w:cs="Garamond" w:eastAsia="Garamond" w:hAnsi="Garamond"/>
          <w:b w:val="1"/>
          <w:bCs w:val="1"/>
          <w:i w:val="1"/>
          <w:iCs w:val="1"/>
          <w:strike w:val="1"/>
          <w:sz w:val="40"/>
          <w:szCs w:val="40"/>
        </w:rPr>
        <w:drawing>
          <wp:inline distB="0" distT="0" distL="0" distR="0">
            <wp:extent cx="3339938" cy="3522590"/>
            <wp:effectExtent b="0" l="0" r="0" t="0"/>
            <wp:docPr id="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339938" cy="352259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line="240" w:lineRule="auto"/>
        <w:jc w:val="center"/>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05">
      <w:pPr>
        <w:spacing w:line="240" w:lineRule="auto"/>
        <w:jc w:val="center"/>
        <w:rPr>
          <w:rFonts w:ascii="Garamond" w:cs="Garamond" w:eastAsia="Garamond" w:hAnsi="Garamond"/>
          <w:b w:val="1"/>
          <w:bCs w:val="1"/>
          <w:i w:val="1"/>
          <w:iCs w:val="1"/>
          <w:sz w:val="40"/>
          <w:szCs w:val="40"/>
        </w:rPr>
      </w:pPr>
      <w:r w:rsidDel="00000000" w:rsidR="00000000" w:rsidRPr="00000000">
        <w:rPr>
          <w:rFonts w:ascii="Garamond" w:cs="Garamond" w:eastAsia="Garamond" w:hAnsi="Garamond"/>
          <w:b w:val="1"/>
          <w:bCs w:val="1"/>
          <w:i w:val="1"/>
          <w:iCs w:val="1"/>
          <w:sz w:val="40"/>
          <w:szCs w:val="40"/>
          <w:rtl w:val="0"/>
        </w:rPr>
        <w:t xml:space="preserve">THE REPUBLIC OF ICENIA</w:t>
      </w:r>
    </w:p>
    <w:p w:rsidR="00000000" w:rsidDel="00000000" w:rsidP="00000000" w:rsidRDefault="00000000" w:rsidRPr="00000000" w14:paraId="00000006">
      <w:pPr>
        <w:spacing w:line="240" w:lineRule="auto"/>
        <w:jc w:val="center"/>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07">
      <w:pPr>
        <w:spacing w:line="328" w:lineRule="auto"/>
        <w:rPr>
          <w:b w:val="1"/>
          <w:bCs w:val="1"/>
          <w:sz w:val="72"/>
          <w:szCs w:val="72"/>
        </w:rPr>
      </w:pPr>
      <w:r w:rsidDel="00000000" w:rsidR="00000000" w:rsidRPr="00000000">
        <w:pict>
          <v:rect style="width:0.0pt;height:1.5pt" o:hr="t" o:hrstd="t" o:hralign="center" fillcolor="#A0A0A0" stroked="f"/>
        </w:pict>
      </w:r>
      <w:r w:rsidDel="00000000" w:rsidR="00000000" w:rsidRPr="00000000">
        <w:rPr>
          <w:rtl w:val="0"/>
        </w:rPr>
      </w:r>
    </w:p>
    <w:sdt>
      <w:sdtPr>
        <w:lock w:val="contentLocked"/>
        <w:id w:val="1112944896"/>
        <w:tag w:val="goog_rdk_0"/>
      </w:sdtPr>
      <w:sdtContent>
        <w:tbl>
          <w:tblPr>
            <w:tblStyle w:val="Table1"/>
            <w:tblW w:w="9029.0" w:type="dxa"/>
            <w:jc w:val="center"/>
            <w:tblLayout w:type="fixed"/>
            <w:tblLook w:val="0600"/>
          </w:tblPr>
          <w:tblGrid>
            <w:gridCol w:w="9029"/>
            <w:tblGridChange w:id="0">
              <w:tblGrid>
                <w:gridCol w:w="9029"/>
              </w:tblGrid>
            </w:tblGridChange>
          </w:tblGrid>
          <w:tr>
            <w:trPr>
              <w:cantSplit w:val="0"/>
              <w:trHeight w:val="246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8">
                <w:pPr>
                  <w:spacing w:line="240" w:lineRule="auto"/>
                  <w:jc w:val="center"/>
                  <w:rPr>
                    <w:rFonts w:ascii="Garamond" w:cs="Garamond" w:eastAsia="Garamond" w:hAnsi="Garamond"/>
                    <w:b w:val="1"/>
                    <w:bCs w:val="1"/>
                    <w:sz w:val="72"/>
                    <w:szCs w:val="72"/>
                  </w:rPr>
                </w:pPr>
                <w:r w:rsidDel="00000000" w:rsidR="00000000" w:rsidRPr="00000000">
                  <w:rPr>
                    <w:rFonts w:ascii="Garamond" w:cs="Garamond" w:eastAsia="Garamond" w:hAnsi="Garamond"/>
                    <w:b w:val="1"/>
                    <w:bCs w:val="1"/>
                    <w:sz w:val="72"/>
                    <w:szCs w:val="72"/>
                    <w:rtl w:val="0"/>
                  </w:rPr>
                  <w:t xml:space="preserve">Icenian Flag Act</w:t>
                </w:r>
              </w:p>
            </w:tc>
          </w:tr>
        </w:tbl>
      </w:sdtContent>
    </w:sdt>
    <w:p w:rsidR="00000000" w:rsidDel="00000000" w:rsidP="00000000" w:rsidRDefault="00000000" w:rsidRPr="00000000" w14:paraId="00000009">
      <w:pPr>
        <w:spacing w:line="240" w:lineRule="auto"/>
        <w:rPr>
          <w:rFonts w:ascii="Times New Roman" w:cs="Times New Roman" w:eastAsia="Times New Roman" w:hAnsi="Times New Roman"/>
          <w:b w:val="1"/>
          <w:bCs w:val="1"/>
          <w:i w:val="1"/>
          <w:i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left"/>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t xml:space="preserve">This document, last compiled by </w:t>
      </w:r>
      <w:r w:rsidDel="00000000" w:rsidR="00000000" w:rsidRPr="00000000">
        <w:rPr>
          <w:b w:val="1"/>
          <w:bCs w:val="1"/>
          <w:rtl w:val="0"/>
        </w:rPr>
        <w:t xml:space="preserve">CreepilyCreep</w:t>
      </w:r>
      <w:r w:rsidDel="00000000" w:rsidR="00000000" w:rsidRPr="00000000">
        <w:rPr>
          <w:rtl w:val="0"/>
        </w:rPr>
        <w:t xml:space="preserve">, </w:t>
      </w:r>
    </w:p>
    <w:p w:rsidR="00000000" w:rsidDel="00000000" w:rsidP="00000000" w:rsidRDefault="00000000" w:rsidRPr="00000000" w14:paraId="0000000E">
      <w:pPr>
        <w:jc w:val="center"/>
        <w:rPr/>
      </w:pPr>
      <w:r w:rsidDel="00000000" w:rsidR="00000000" w:rsidRPr="00000000">
        <w:rPr>
          <w:rtl w:val="0"/>
        </w:rPr>
        <w:t xml:space="preserve">includes all legislation enacted and amended </w:t>
      </w:r>
    </w:p>
    <w:p w:rsidR="00000000" w:rsidDel="00000000" w:rsidP="00000000" w:rsidRDefault="00000000" w:rsidRPr="00000000" w14:paraId="0000000F">
      <w:pPr>
        <w:jc w:val="center"/>
        <w:rPr/>
      </w:pPr>
      <w:r w:rsidDel="00000000" w:rsidR="00000000" w:rsidRPr="00000000">
        <w:rPr>
          <w:rtl w:val="0"/>
        </w:rPr>
        <w:t xml:space="preserve">up to and including the </w:t>
      </w:r>
      <w:r w:rsidDel="00000000" w:rsidR="00000000" w:rsidRPr="00000000">
        <w:rPr>
          <w:b w:val="1"/>
          <w:bCs w:val="1"/>
          <w:rtl w:val="0"/>
        </w:rPr>
        <w:t xml:space="preserve">Icenian Flag Bill</w:t>
      </w: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t xml:space="preserve">passed on </w:t>
      </w:r>
      <w:r w:rsidDel="00000000" w:rsidR="00000000" w:rsidRPr="00000000">
        <w:rPr>
          <w:b w:val="1"/>
          <w:bCs w:val="1"/>
          <w:rtl w:val="0"/>
        </w:rPr>
        <w:t xml:space="preserve">12th July 2024</w:t>
      </w: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11">
      <w:pPr>
        <w:pStyle w:val="Title"/>
        <w:spacing w:line="276" w:lineRule="auto"/>
        <w:jc w:val="center"/>
        <w:rPr/>
      </w:pPr>
      <w:bookmarkStart w:colFirst="0" w:colLast="0" w:name="_heading=h.20hglb8utbkb" w:id="0"/>
      <w:bookmarkEnd w:id="0"/>
      <w:r w:rsidDel="00000000" w:rsidR="00000000" w:rsidRPr="00000000">
        <w:rPr>
          <w:rtl w:val="0"/>
        </w:rPr>
        <w:t xml:space="preserve">Icenian Flag Act</w:t>
      </w:r>
    </w:p>
    <w:p w:rsidR="00000000" w:rsidDel="00000000" w:rsidP="00000000" w:rsidRDefault="00000000" w:rsidRPr="00000000" w14:paraId="00000012">
      <w:pPr>
        <w:pStyle w:val="Heading1"/>
        <w:spacing w:line="276" w:lineRule="auto"/>
        <w:rPr/>
      </w:pPr>
      <w:bookmarkStart w:colFirst="0" w:colLast="0" w:name="_heading=h.3064qvm4s0un" w:id="1"/>
      <w:bookmarkEnd w:id="1"/>
      <w:r w:rsidDel="00000000" w:rsidR="00000000" w:rsidRPr="00000000">
        <w:rPr>
          <w:rtl w:val="0"/>
        </w:rPr>
        <w:t xml:space="preserve">COLOURS</w:t>
      </w:r>
    </w:p>
    <w:p w:rsidR="00000000" w:rsidDel="00000000" w:rsidP="00000000" w:rsidRDefault="00000000" w:rsidRPr="00000000" w14:paraId="00000013">
      <w:pPr>
        <w:spacing w:line="276" w:lineRule="auto"/>
        <w:rPr/>
      </w:pPr>
      <w:r w:rsidDel="00000000" w:rsidR="00000000" w:rsidRPr="00000000">
        <w:rPr>
          <w:rtl w:val="0"/>
        </w:rPr>
        <w:t xml:space="preserve">The colour hereon referred to as "Light Blue" of Icenia is to be defined as twenty-two point seven percent red, seventy point two percent green, and eighty-five point five percent blue, represented by the following common values:</w:t>
      </w:r>
    </w:p>
    <w:p w:rsidR="00000000" w:rsidDel="00000000" w:rsidP="00000000" w:rsidRDefault="00000000" w:rsidRPr="00000000" w14:paraId="00000014">
      <w:pPr>
        <w:spacing w:line="276" w:lineRule="auto"/>
        <w:rPr/>
      </w:pPr>
      <w:r w:rsidDel="00000000" w:rsidR="00000000" w:rsidRPr="00000000">
        <w:rPr>
          <w:rtl w:val="0"/>
        </w:rPr>
      </w:r>
    </w:p>
    <w:p w:rsidR="00000000" w:rsidDel="00000000" w:rsidP="00000000" w:rsidRDefault="00000000" w:rsidRPr="00000000" w14:paraId="00000015">
      <w:pPr>
        <w:spacing w:line="276" w:lineRule="auto"/>
        <w:rPr/>
      </w:pPr>
      <w:r w:rsidDel="00000000" w:rsidR="00000000" w:rsidRPr="00000000">
        <w:rPr>
          <w:rtl w:val="0"/>
        </w:rPr>
        <w:t xml:space="preserve">HEX: #3AB3DA</w:t>
      </w:r>
    </w:p>
    <w:p w:rsidR="00000000" w:rsidDel="00000000" w:rsidP="00000000" w:rsidRDefault="00000000" w:rsidRPr="00000000" w14:paraId="00000016">
      <w:pPr>
        <w:spacing w:line="276" w:lineRule="auto"/>
        <w:rPr/>
      </w:pPr>
      <w:r w:rsidDel="00000000" w:rsidR="00000000" w:rsidRPr="00000000">
        <w:rPr>
          <w:rtl w:val="0"/>
        </w:rPr>
        <w:t xml:space="preserve">RGB: 58, 179, 218</w:t>
      </w:r>
    </w:p>
    <w:p w:rsidR="00000000" w:rsidDel="00000000" w:rsidP="00000000" w:rsidRDefault="00000000" w:rsidRPr="00000000" w14:paraId="00000017">
      <w:pPr>
        <w:spacing w:line="276" w:lineRule="auto"/>
        <w:rPr/>
      </w:pPr>
      <w:r w:rsidDel="00000000" w:rsidR="00000000" w:rsidRPr="00000000">
        <w:rPr>
          <w:rtl w:val="0"/>
        </w:rPr>
        <w:t xml:space="preserve">CMYK: 73, 18, 0, 15</w:t>
      </w:r>
    </w:p>
    <w:p w:rsidR="00000000" w:rsidDel="00000000" w:rsidP="00000000" w:rsidRDefault="00000000" w:rsidRPr="00000000" w14:paraId="00000018">
      <w:pPr>
        <w:spacing w:line="276" w:lineRule="auto"/>
        <w:rPr/>
      </w:pPr>
      <w:r w:rsidDel="00000000" w:rsidR="00000000" w:rsidRPr="00000000">
        <w:rPr>
          <w:rtl w:val="0"/>
        </w:rPr>
        <w:t xml:space="preserve">HSL: 194.6°, 68.4, 54.1</w:t>
      </w:r>
    </w:p>
    <w:p w:rsidR="00000000" w:rsidDel="00000000" w:rsidP="00000000" w:rsidRDefault="00000000" w:rsidRPr="00000000" w14:paraId="00000019">
      <w:pPr>
        <w:spacing w:line="276" w:lineRule="auto"/>
        <w:rPr/>
      </w:pPr>
      <w:r w:rsidDel="00000000" w:rsidR="00000000" w:rsidRPr="00000000">
        <w:rPr>
          <w:rtl w:val="0"/>
        </w:rPr>
        <w:t xml:space="preserve">HSV: 194.6°, 73.4, 85.5</w:t>
      </w:r>
    </w:p>
    <w:p w:rsidR="00000000" w:rsidDel="00000000" w:rsidP="00000000" w:rsidRDefault="00000000" w:rsidRPr="00000000" w14:paraId="0000001A">
      <w:pPr>
        <w:spacing w:line="276" w:lineRule="auto"/>
        <w:rPr/>
      </w:pPr>
      <w:r w:rsidDel="00000000" w:rsidR="00000000" w:rsidRPr="00000000">
        <w:rPr>
          <w:rtl w:val="0"/>
        </w:rPr>
      </w:r>
    </w:p>
    <w:p w:rsidR="00000000" w:rsidDel="00000000" w:rsidP="00000000" w:rsidRDefault="00000000" w:rsidRPr="00000000" w14:paraId="0000001B">
      <w:pPr>
        <w:spacing w:line="276" w:lineRule="auto"/>
        <w:rPr/>
      </w:pPr>
      <w:r w:rsidDel="00000000" w:rsidR="00000000" w:rsidRPr="00000000">
        <w:rPr>
          <w:rtl w:val="0"/>
        </w:rPr>
        <w:t xml:space="preserve">The color hereon referred to as "White" of Icenia is to be defined as one hundred percent red, one hundred percent green, and one hundred percent blue, represented by the following common values:</w:t>
      </w:r>
    </w:p>
    <w:p w:rsidR="00000000" w:rsidDel="00000000" w:rsidP="00000000" w:rsidRDefault="00000000" w:rsidRPr="00000000" w14:paraId="0000001C">
      <w:pPr>
        <w:spacing w:line="276" w:lineRule="auto"/>
        <w:rPr/>
      </w:pPr>
      <w:r w:rsidDel="00000000" w:rsidR="00000000" w:rsidRPr="00000000">
        <w:rPr>
          <w:rtl w:val="0"/>
        </w:rPr>
      </w:r>
    </w:p>
    <w:p w:rsidR="00000000" w:rsidDel="00000000" w:rsidP="00000000" w:rsidRDefault="00000000" w:rsidRPr="00000000" w14:paraId="0000001D">
      <w:pPr>
        <w:spacing w:line="276" w:lineRule="auto"/>
        <w:rPr/>
      </w:pPr>
      <w:r w:rsidDel="00000000" w:rsidR="00000000" w:rsidRPr="00000000">
        <w:rPr>
          <w:rtl w:val="0"/>
        </w:rPr>
        <w:t xml:space="preserve">HEX: #FFFFFF</w:t>
      </w:r>
    </w:p>
    <w:p w:rsidR="00000000" w:rsidDel="00000000" w:rsidP="00000000" w:rsidRDefault="00000000" w:rsidRPr="00000000" w14:paraId="0000001E">
      <w:pPr>
        <w:spacing w:line="276" w:lineRule="auto"/>
        <w:rPr/>
      </w:pPr>
      <w:r w:rsidDel="00000000" w:rsidR="00000000" w:rsidRPr="00000000">
        <w:rPr>
          <w:rtl w:val="0"/>
        </w:rPr>
        <w:t xml:space="preserve">RGB: 255, 255, 255</w:t>
      </w:r>
    </w:p>
    <w:p w:rsidR="00000000" w:rsidDel="00000000" w:rsidP="00000000" w:rsidRDefault="00000000" w:rsidRPr="00000000" w14:paraId="0000001F">
      <w:pPr>
        <w:spacing w:line="276" w:lineRule="auto"/>
        <w:rPr/>
      </w:pPr>
      <w:r w:rsidDel="00000000" w:rsidR="00000000" w:rsidRPr="00000000">
        <w:rPr>
          <w:rtl w:val="0"/>
        </w:rPr>
        <w:t xml:space="preserve">CMYK: 0, 0, 0, 0</w:t>
      </w:r>
    </w:p>
    <w:p w:rsidR="00000000" w:rsidDel="00000000" w:rsidP="00000000" w:rsidRDefault="00000000" w:rsidRPr="00000000" w14:paraId="00000020">
      <w:pPr>
        <w:spacing w:line="276" w:lineRule="auto"/>
        <w:rPr/>
      </w:pPr>
      <w:r w:rsidDel="00000000" w:rsidR="00000000" w:rsidRPr="00000000">
        <w:rPr>
          <w:rtl w:val="0"/>
        </w:rPr>
        <w:t xml:space="preserve">HSL: 0°, 0, 100</w:t>
      </w:r>
    </w:p>
    <w:p w:rsidR="00000000" w:rsidDel="00000000" w:rsidP="00000000" w:rsidRDefault="00000000" w:rsidRPr="00000000" w14:paraId="00000021">
      <w:pPr>
        <w:spacing w:line="276" w:lineRule="auto"/>
        <w:rPr/>
      </w:pPr>
      <w:r w:rsidDel="00000000" w:rsidR="00000000" w:rsidRPr="00000000">
        <w:rPr>
          <w:rtl w:val="0"/>
        </w:rPr>
        <w:t xml:space="preserve">HSV: 0°, 0, 100</w:t>
      </w:r>
    </w:p>
    <w:p w:rsidR="00000000" w:rsidDel="00000000" w:rsidP="00000000" w:rsidRDefault="00000000" w:rsidRPr="00000000" w14:paraId="00000022">
      <w:pPr>
        <w:pStyle w:val="Heading1"/>
        <w:spacing w:line="276" w:lineRule="auto"/>
        <w:rPr/>
      </w:pPr>
      <w:bookmarkStart w:colFirst="0" w:colLast="0" w:name="_heading=h.ohn6pus1xts5" w:id="2"/>
      <w:bookmarkEnd w:id="2"/>
      <w:r w:rsidDel="00000000" w:rsidR="00000000" w:rsidRPr="00000000">
        <w:rPr>
          <w:rtl w:val="0"/>
        </w:rPr>
        <w:t xml:space="preserve">DESIGN</w:t>
      </w:r>
    </w:p>
    <w:p w:rsidR="00000000" w:rsidDel="00000000" w:rsidP="00000000" w:rsidRDefault="00000000" w:rsidRPr="00000000" w14:paraId="00000023">
      <w:pPr>
        <w:spacing w:line="276" w:lineRule="auto"/>
        <w:rPr/>
      </w:pPr>
      <w:r w:rsidDel="00000000" w:rsidR="00000000" w:rsidRPr="00000000">
        <w:rPr>
          <w:rtl w:val="0"/>
        </w:rPr>
        <w:t xml:space="preserve">The flag of Icenia is to follow the construction sheet in the attached image and flown vertically by rotating ninety degrees clockwise.</w:t>
      </w:r>
    </w:p>
    <w:p w:rsidR="00000000" w:rsidDel="00000000" w:rsidP="00000000" w:rsidRDefault="00000000" w:rsidRPr="00000000" w14:paraId="00000024">
      <w:pPr>
        <w:spacing w:line="276" w:lineRule="auto"/>
        <w:rPr/>
      </w:pPr>
      <w:r w:rsidDel="00000000" w:rsidR="00000000" w:rsidRPr="00000000">
        <w:rPr>
          <w:rtl w:val="0"/>
        </w:rPr>
      </w:r>
    </w:p>
    <w:p w:rsidR="00000000" w:rsidDel="00000000" w:rsidP="00000000" w:rsidRDefault="00000000" w:rsidRPr="00000000" w14:paraId="00000025">
      <w:pPr>
        <w:spacing w:line="276" w:lineRule="auto"/>
        <w:rPr/>
      </w:pPr>
      <w:r w:rsidDel="00000000" w:rsidR="00000000" w:rsidRPr="00000000">
        <w:rPr>
          <w:rtl w:val="0"/>
        </w:rPr>
        <w:t xml:space="preserve">Figure one represents the flag of Icenia after this bill is passed, it is a two-to-one ratio white field with a light blue dot one quarter of the height of the flag. Figure two is the construction sheet of the flag of Icenia, displaying all of the required information to recreate it. Figure three shows the vexillological symbols to indicate the characteristics of the flag of Icenia, from left to right; this is the observe side of the flag, the flag's reverse side is identical to its observe side, and the flag's vertical state is a rotation of the original.</w:t>
      </w:r>
    </w:p>
    <w:p w:rsidR="00000000" w:rsidDel="00000000" w:rsidP="00000000" w:rsidRDefault="00000000" w:rsidRPr="00000000" w14:paraId="00000026">
      <w:pPr>
        <w:spacing w:line="276" w:lineRule="auto"/>
        <w:rPr/>
      </w:pPr>
      <w:r w:rsidDel="00000000" w:rsidR="00000000" w:rsidRPr="00000000">
        <w:rPr>
          <w:rtl w:val="0"/>
        </w:rPr>
      </w:r>
    </w:p>
    <w:p w:rsidR="00000000" w:rsidDel="00000000" w:rsidP="00000000" w:rsidRDefault="00000000" w:rsidRPr="00000000" w14:paraId="00000027">
      <w:pPr>
        <w:spacing w:line="276" w:lineRule="auto"/>
        <w:rPr/>
      </w:pPr>
      <w:r w:rsidDel="00000000" w:rsidR="00000000" w:rsidRPr="00000000">
        <w:rPr>
          <w:rtl w:val="0"/>
        </w:rPr>
        <w:t xml:space="preserve">﻿</w:t>
      </w:r>
      <w:r w:rsidDel="00000000" w:rsidR="00000000" w:rsidRPr="00000000">
        <w:rPr/>
        <w:drawing>
          <wp:inline distB="114300" distT="114300" distL="114300" distR="114300">
            <wp:extent cx="5731200" cy="2857500"/>
            <wp:effectExtent b="12700" l="12700" r="12700" t="12700"/>
            <wp:docPr id="10"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2857500"/>
                    </a:xfrm>
                    <a:prstGeom prst="rect"/>
                    <a:ln w="12700">
                      <a:solidFill>
                        <a:srgbClr val="000000"/>
                      </a:solidFill>
                      <a:prstDash val="solid"/>
                    </a:ln>
                  </pic:spPr>
                </pic:pic>
              </a:graphicData>
            </a:graphic>
          </wp:inline>
        </w:drawing>
      </w:r>
      <w:r w:rsidDel="00000000" w:rsidR="00000000" w:rsidRPr="00000000">
        <w:rPr>
          <w:rtl w:val="0"/>
        </w:rPr>
        <w:t xml:space="preserve">﻿</w:t>
      </w:r>
      <w:r w:rsidDel="00000000" w:rsidR="00000000" w:rsidRPr="00000000">
        <w:rPr/>
        <w:drawing>
          <wp:inline distB="114300" distT="114300" distL="114300" distR="114300">
            <wp:extent cx="5731200" cy="3441700"/>
            <wp:effectExtent b="0" l="0" r="0" t="0"/>
            <wp:docPr id="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line="276" w:lineRule="auto"/>
        <w:rPr/>
      </w:pPr>
      <w:r w:rsidDel="00000000" w:rsidR="00000000" w:rsidRPr="00000000">
        <w:rPr>
          <w:rtl w:val="0"/>
        </w:rPr>
        <w:t xml:space="preserve">﻿</w:t>
      </w:r>
      <w:r w:rsidDel="00000000" w:rsidR="00000000" w:rsidRPr="00000000">
        <w:rPr/>
        <w:drawing>
          <wp:inline distB="114300" distT="114300" distL="114300" distR="114300">
            <wp:extent cx="685800" cy="142875"/>
            <wp:effectExtent b="0" l="0" r="0" t="0"/>
            <wp:docPr id="7"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85800" cy="14287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line="276" w:lineRule="auto"/>
        <w:ind w:left="0" w:firstLine="0"/>
        <w:rPr>
          <w:rFonts w:ascii="Times New Roman" w:cs="Times New Roman" w:eastAsia="Times New Roman" w:hAnsi="Times New Roman"/>
          <w:b w:val="1"/>
          <w:bCs w:val="1"/>
          <w:sz w:val="64"/>
          <w:szCs w:val="64"/>
        </w:rPr>
      </w:pPr>
      <w:r w:rsidDel="00000000" w:rsidR="00000000" w:rsidRPr="00000000">
        <w:rPr>
          <w:rtl w:val="0"/>
        </w:rPr>
      </w:r>
    </w:p>
    <w:sectPr>
      <w:headerReference r:id="rId11" w:type="first"/>
      <w:footerReference r:id="rId12" w:type="firs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rPr/>
    </w:pPr>
    <w:r w:rsidDel="00000000" w:rsidR="00000000" w:rsidRPr="00000000">
      <w:rPr>
        <w:rtl w:val="0"/>
      </w:rPr>
      <w:t xml:space="preserve">This document, last compiled by </w:t>
    </w:r>
    <w:r w:rsidDel="00000000" w:rsidR="00000000" w:rsidRPr="00000000">
      <w:rPr>
        <w:b w:val="1"/>
        <w:bCs w:val="1"/>
        <w:rtl w:val="0"/>
      </w:rPr>
      <w:t xml:space="preserve">CreepilyCreep</w:t>
    </w:r>
    <w:r w:rsidDel="00000000" w:rsidR="00000000" w:rsidRPr="00000000">
      <w:rPr>
        <w:rtl w:val="0"/>
      </w:rPr>
      <w:t xml:space="preserve">, includes all legislation enacted and amended up to and including the </w:t>
    </w:r>
    <w:r w:rsidDel="00000000" w:rsidR="00000000" w:rsidRPr="00000000">
      <w:rPr>
        <w:b w:val="1"/>
        <w:bCs w:val="1"/>
        <w:rtl w:val="0"/>
      </w:rPr>
      <w:t xml:space="preserve">Archival Standards Act</w:t>
    </w:r>
    <w:r w:rsidDel="00000000" w:rsidR="00000000" w:rsidRPr="00000000">
      <w:rPr>
        <w:rtl w:val="0"/>
      </w:rPr>
      <w:t xml:space="preserve"> passed on </w:t>
    </w:r>
    <w:r w:rsidDel="00000000" w:rsidR="00000000" w:rsidRPr="00000000">
      <w:rPr>
        <w:b w:val="1"/>
        <w:bCs w:val="1"/>
        <w:rtl w:val="0"/>
      </w:rPr>
      <w:t xml:space="preserve">3rd January 2026</w:t>
    </w:r>
    <w:r w:rsidDel="00000000" w:rsidR="00000000" w:rsidRPr="00000000">
      <w:rPr>
        <w:rtl w:val="0"/>
      </w:rPr>
      <w:t xml:space="preserv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Pr>
  </w:style>
  <w:style w:type="table" w:styleId="Table1">
    <w:basedOn w:val="TableNormal"/>
    <w:tblPr>
      <w:tblStyleRowBandSize w:val="1"/>
      <w:tblStyleColBandSize w:val="1"/>
    </w:tblPr>
  </w:style>
  <w:style w:type="table" w:styleId="Table1">
    <w:basedOn w:val="TableNormal"/>
    <w:tblPr>
      <w:tblStyleRowBandSize w:val="1"/>
      <w:tblStyleColBandSize w:val="1"/>
    </w:tblPr>
  </w:style>
  <w:style w:type="table" w:styleId="Table1">
    <w:basedOn w:val="TableNormal"/>
    <w:tblPr>
      <w:tblStyleRowBandSize w:val="1"/>
      <w:tblStyleColBandSize w:val="1"/>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2.png"/><Relationship Id="rId12" Type="http://schemas.openxmlformats.org/officeDocument/2006/relationships/footer" Target="foot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4uiqg0sV/HS5IdTRTSE+SE0Yw==">CgMxLjAaHwoBMBIaChgICVIUChJ0YWJsZS5mMnQwZmkzdmpjaDEyDmguMjBoZ2xiOHV0YmtiMg5oLjMwNjRxdm00czB1bjIOaC5vaG42cHVzMXh0czU4AHIhMTBIUzBlUng4SVR2ZC0zQ2pqcWpTNVRLRnJmMkNBUENG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